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34" w:rsidRPr="00240534" w:rsidRDefault="00240534" w:rsidP="00240534">
      <w:pPr>
        <w:spacing w:line="240" w:lineRule="auto"/>
        <w:jc w:val="both"/>
        <w:rPr>
          <w:rFonts w:ascii="Calibri" w:hAnsi="Calibri" w:cs="Calibri"/>
          <w:b/>
          <w:sz w:val="28"/>
        </w:rPr>
      </w:pPr>
      <w:r w:rsidRPr="00240534">
        <w:rPr>
          <w:rFonts w:ascii="Calibri" w:hAnsi="Calibri" w:cs="Calibri"/>
          <w:b/>
          <w:sz w:val="28"/>
        </w:rPr>
        <w:t>ANALYZING SUPPLY CHAIN RESILIENCE USING TEMPORAL FAULT TREE ANALYSIS</w:t>
      </w:r>
    </w:p>
    <w:p w:rsidR="00240534" w:rsidRPr="00240534" w:rsidRDefault="00240534" w:rsidP="00240534">
      <w:pPr>
        <w:spacing w:line="240" w:lineRule="auto"/>
        <w:jc w:val="both"/>
        <w:rPr>
          <w:rFonts w:ascii="Calibri" w:hAnsi="Calibri" w:cs="Calibri"/>
          <w:b/>
        </w:rPr>
      </w:pPr>
    </w:p>
    <w:p w:rsidR="00240534" w:rsidRPr="00240534" w:rsidRDefault="00240534" w:rsidP="00240534">
      <w:pPr>
        <w:spacing w:line="240" w:lineRule="auto"/>
        <w:jc w:val="both"/>
        <w:rPr>
          <w:rFonts w:ascii="Calibri" w:hAnsi="Calibri" w:cs="Calibri"/>
          <w:b/>
          <w:i/>
          <w:vertAlign w:val="superscript"/>
        </w:rPr>
      </w:pPr>
      <w:r w:rsidRPr="00240534">
        <w:rPr>
          <w:rFonts w:ascii="Calibri" w:hAnsi="Calibri" w:cs="Calibri"/>
          <w:b/>
          <w:i/>
        </w:rPr>
        <w:t>Ernest E. Edifor</w:t>
      </w:r>
      <w:r w:rsidRPr="00240534">
        <w:rPr>
          <w:rFonts w:ascii="Calibri" w:hAnsi="Calibri" w:cs="Calibri"/>
          <w:b/>
          <w:i/>
          <w:vertAlign w:val="superscript"/>
        </w:rPr>
        <w:t>1</w:t>
      </w:r>
      <w:r w:rsidRPr="00240534">
        <w:rPr>
          <w:rFonts w:ascii="Calibri" w:hAnsi="Calibri" w:cs="Calibri"/>
          <w:b/>
          <w:i/>
        </w:rPr>
        <w:t>, David Lascelles</w:t>
      </w:r>
      <w:r w:rsidRPr="00240534">
        <w:rPr>
          <w:rFonts w:ascii="Calibri" w:hAnsi="Calibri" w:cs="Calibri"/>
          <w:b/>
          <w:i/>
          <w:vertAlign w:val="superscript"/>
        </w:rPr>
        <w:t>1</w:t>
      </w:r>
      <w:r w:rsidRPr="00240534">
        <w:rPr>
          <w:rFonts w:ascii="Calibri" w:hAnsi="Calibri" w:cs="Calibri"/>
          <w:b/>
          <w:i/>
        </w:rPr>
        <w:t xml:space="preserve"> and Graham Dixon</w:t>
      </w:r>
      <w:r w:rsidRPr="00240534">
        <w:rPr>
          <w:rFonts w:ascii="Calibri" w:hAnsi="Calibri" w:cs="Calibri"/>
          <w:b/>
          <w:i/>
          <w:vertAlign w:val="superscript"/>
        </w:rPr>
        <w:t>2</w:t>
      </w:r>
    </w:p>
    <w:p w:rsidR="00240534" w:rsidRPr="00240534" w:rsidRDefault="00240534" w:rsidP="00240534">
      <w:pPr>
        <w:spacing w:line="240" w:lineRule="auto"/>
        <w:jc w:val="both"/>
        <w:rPr>
          <w:rFonts w:ascii="Calibri" w:hAnsi="Calibri" w:cs="Calibri"/>
          <w:i/>
        </w:rPr>
      </w:pPr>
      <w:r w:rsidRPr="00240534">
        <w:rPr>
          <w:rFonts w:ascii="Calibri" w:hAnsi="Calibri" w:cs="Calibri"/>
          <w:i/>
          <w:vertAlign w:val="superscript"/>
        </w:rPr>
        <w:t>1</w:t>
      </w:r>
      <w:r w:rsidRPr="00240534">
        <w:rPr>
          <w:rFonts w:ascii="Calibri" w:hAnsi="Calibri" w:cs="Calibri"/>
          <w:i/>
        </w:rPr>
        <w:t>Manchester Metropolitan University, Manchester, UK</w:t>
      </w:r>
    </w:p>
    <w:p w:rsidR="00240534" w:rsidRPr="00240534" w:rsidRDefault="00240534" w:rsidP="00240534">
      <w:pPr>
        <w:spacing w:line="240" w:lineRule="auto"/>
        <w:jc w:val="both"/>
        <w:rPr>
          <w:rFonts w:ascii="Calibri" w:hAnsi="Calibri" w:cs="Calibri"/>
          <w:i/>
        </w:rPr>
      </w:pPr>
      <w:r w:rsidRPr="00240534">
        <w:rPr>
          <w:rFonts w:ascii="Calibri" w:hAnsi="Calibri" w:cs="Calibri"/>
          <w:i/>
          <w:vertAlign w:val="superscript"/>
        </w:rPr>
        <w:t>2</w:t>
      </w:r>
      <w:r w:rsidRPr="00240534">
        <w:rPr>
          <w:rFonts w:ascii="Calibri" w:hAnsi="Calibri" w:cs="Calibri"/>
          <w:i/>
        </w:rPr>
        <w:t>Esprit Warehousing Ltd, UK</w:t>
      </w:r>
    </w:p>
    <w:p w:rsidR="00D23E2D" w:rsidRPr="00240534" w:rsidRDefault="00D23E2D" w:rsidP="00240534">
      <w:pPr>
        <w:spacing w:line="240" w:lineRule="auto"/>
        <w:jc w:val="both"/>
        <w:rPr>
          <w:rFonts w:ascii="Calibri" w:hAnsi="Calibri" w:cs="Calibri"/>
        </w:rPr>
      </w:pPr>
    </w:p>
    <w:p w:rsidR="00B403C1" w:rsidRPr="00240534" w:rsidRDefault="00D23E2D" w:rsidP="00240534">
      <w:pPr>
        <w:pStyle w:val="Heading1"/>
        <w:spacing w:line="240" w:lineRule="auto"/>
        <w:jc w:val="both"/>
        <w:rPr>
          <w:rFonts w:ascii="Calibri" w:hAnsi="Calibri" w:cs="Calibri"/>
          <w:szCs w:val="22"/>
        </w:rPr>
      </w:pPr>
      <w:r w:rsidRPr="00240534">
        <w:rPr>
          <w:rFonts w:ascii="Calibri" w:hAnsi="Calibri" w:cs="Calibri"/>
          <w:szCs w:val="22"/>
        </w:rPr>
        <w:t>Introduction</w:t>
      </w:r>
    </w:p>
    <w:p w:rsidR="007F760E" w:rsidRPr="00240534" w:rsidRDefault="006660C1" w:rsidP="00240534">
      <w:pPr>
        <w:spacing w:line="240" w:lineRule="auto"/>
        <w:jc w:val="both"/>
        <w:rPr>
          <w:rFonts w:ascii="Calibri" w:hAnsi="Calibri" w:cs="Calibri"/>
        </w:rPr>
      </w:pPr>
      <w:r w:rsidRPr="00240534">
        <w:rPr>
          <w:rFonts w:ascii="Calibri" w:hAnsi="Calibri" w:cs="Calibri"/>
        </w:rPr>
        <w:t xml:space="preserve">Supply chain disruptions are inevitable because the world of business is dynamic and susceptible to environmental, political, economic, technological </w:t>
      </w:r>
      <w:r w:rsidR="00E33755" w:rsidRPr="00240534">
        <w:rPr>
          <w:rFonts w:ascii="Calibri" w:hAnsi="Calibri" w:cs="Calibri"/>
        </w:rPr>
        <w:t xml:space="preserve">changes </w:t>
      </w:r>
      <w:r w:rsidRPr="00240534">
        <w:rPr>
          <w:rFonts w:ascii="Calibri" w:hAnsi="Calibri" w:cs="Calibri"/>
        </w:rPr>
        <w:t>etc. As supply chains evolve to adapt to the changing world of business</w:t>
      </w:r>
      <w:r w:rsidR="007F760E" w:rsidRPr="00240534">
        <w:rPr>
          <w:rFonts w:ascii="Calibri" w:hAnsi="Calibri" w:cs="Calibri"/>
        </w:rPr>
        <w:t>, they get complex</w:t>
      </w:r>
      <w:r w:rsidRPr="00240534">
        <w:rPr>
          <w:rFonts w:ascii="Calibri" w:hAnsi="Calibri" w:cs="Calibri"/>
        </w:rPr>
        <w:t xml:space="preserve"> and hence more efforts needed to analyse it to </w:t>
      </w:r>
      <w:r w:rsidR="007F760E" w:rsidRPr="00240534">
        <w:rPr>
          <w:rFonts w:ascii="Calibri" w:hAnsi="Calibri" w:cs="Calibri"/>
        </w:rPr>
        <w:t>reduce the risks of disruptions. The question then is</w:t>
      </w:r>
      <w:r w:rsidRPr="00240534">
        <w:rPr>
          <w:rFonts w:ascii="Calibri" w:hAnsi="Calibri" w:cs="Calibri"/>
        </w:rPr>
        <w:t xml:space="preserve"> how can new or existing business</w:t>
      </w:r>
      <w:r w:rsidR="007F760E" w:rsidRPr="00240534">
        <w:rPr>
          <w:rFonts w:ascii="Calibri" w:hAnsi="Calibri" w:cs="Calibri"/>
        </w:rPr>
        <w:t>es</w:t>
      </w:r>
      <w:r w:rsidRPr="00240534">
        <w:rPr>
          <w:rFonts w:ascii="Calibri" w:hAnsi="Calibri" w:cs="Calibri"/>
        </w:rPr>
        <w:t xml:space="preserve"> reduce the risks associated with their supply chains? </w:t>
      </w:r>
      <w:r w:rsidR="007F760E" w:rsidRPr="00240534">
        <w:rPr>
          <w:rFonts w:ascii="Calibri" w:hAnsi="Calibri" w:cs="Calibri"/>
        </w:rPr>
        <w:t>Over the past few decades, v</w:t>
      </w:r>
      <w:r w:rsidRPr="00240534">
        <w:rPr>
          <w:rFonts w:ascii="Calibri" w:hAnsi="Calibri" w:cs="Calibri"/>
        </w:rPr>
        <w:t xml:space="preserve">arious solutions have been proposed to tackle </w:t>
      </w:r>
      <w:r w:rsidR="007F760E" w:rsidRPr="00240534">
        <w:rPr>
          <w:rFonts w:ascii="Calibri" w:hAnsi="Calibri" w:cs="Calibri"/>
        </w:rPr>
        <w:t>this question</w:t>
      </w:r>
      <w:r w:rsidRPr="00240534">
        <w:rPr>
          <w:rFonts w:ascii="Calibri" w:hAnsi="Calibri" w:cs="Calibri"/>
        </w:rPr>
        <w:t>.</w:t>
      </w:r>
      <w:r w:rsidR="007F760E" w:rsidRPr="00240534">
        <w:rPr>
          <w:rFonts w:ascii="Calibri" w:hAnsi="Calibri" w:cs="Calibri"/>
        </w:rPr>
        <w:t xml:space="preserve"> </w:t>
      </w:r>
      <w:r w:rsidR="00A24C8B" w:rsidRPr="00240534">
        <w:rPr>
          <w:rFonts w:ascii="Calibri" w:hAnsi="Calibri" w:cs="Calibri"/>
        </w:rPr>
        <w:t xml:space="preserve">A promising solution </w:t>
      </w:r>
      <w:r w:rsidR="00A104EF" w:rsidRPr="00240534">
        <w:rPr>
          <w:rFonts w:ascii="Calibri" w:hAnsi="Calibri" w:cs="Calibri"/>
        </w:rPr>
        <w:t>suggests the use of a quantitative probabilistic safety assessment technique ca</w:t>
      </w:r>
      <w:r w:rsidR="007F760E" w:rsidRPr="00240534">
        <w:rPr>
          <w:rFonts w:ascii="Calibri" w:hAnsi="Calibri" w:cs="Calibri"/>
        </w:rPr>
        <w:t>lled Fault Tree Analysis (FTA).</w:t>
      </w:r>
    </w:p>
    <w:p w:rsidR="007F760E" w:rsidRPr="00240534" w:rsidRDefault="007F760E" w:rsidP="00240534">
      <w:pPr>
        <w:spacing w:line="240" w:lineRule="auto"/>
        <w:jc w:val="both"/>
        <w:rPr>
          <w:rFonts w:ascii="Calibri" w:hAnsi="Calibri" w:cs="Calibri"/>
        </w:rPr>
      </w:pPr>
    </w:p>
    <w:p w:rsidR="00180D3A" w:rsidRPr="00240534" w:rsidRDefault="00A104EF" w:rsidP="00240534">
      <w:pPr>
        <w:spacing w:line="240" w:lineRule="auto"/>
        <w:jc w:val="both"/>
        <w:rPr>
          <w:rFonts w:ascii="Calibri" w:hAnsi="Calibri" w:cs="Calibri"/>
        </w:rPr>
      </w:pPr>
      <w:r w:rsidRPr="00240534">
        <w:rPr>
          <w:rFonts w:ascii="Calibri" w:hAnsi="Calibri" w:cs="Calibri"/>
        </w:rPr>
        <w:t xml:space="preserve">FTA is backward-deductive technique </w:t>
      </w:r>
      <w:r w:rsidR="00123AD6" w:rsidRPr="00240534">
        <w:rPr>
          <w:rFonts w:ascii="Calibri" w:hAnsi="Calibri" w:cs="Calibri"/>
        </w:rPr>
        <w:t xml:space="preserve">used </w:t>
      </w:r>
      <w:r w:rsidR="00A24C8B" w:rsidRPr="00240534">
        <w:rPr>
          <w:rFonts w:ascii="Calibri" w:hAnsi="Calibri" w:cs="Calibri"/>
        </w:rPr>
        <w:t>heavily in</w:t>
      </w:r>
      <w:r w:rsidR="00AD53E2" w:rsidRPr="00240534">
        <w:rPr>
          <w:rFonts w:ascii="Calibri" w:hAnsi="Calibri" w:cs="Calibri"/>
        </w:rPr>
        <w:t xml:space="preserve"> the</w:t>
      </w:r>
      <w:r w:rsidR="00A24C8B" w:rsidRPr="00240534">
        <w:rPr>
          <w:rFonts w:ascii="Calibri" w:hAnsi="Calibri" w:cs="Calibri"/>
        </w:rPr>
        <w:t xml:space="preserve"> engineering </w:t>
      </w:r>
      <w:r w:rsidRPr="00240534">
        <w:rPr>
          <w:rFonts w:ascii="Calibri" w:hAnsi="Calibri" w:cs="Calibri"/>
        </w:rPr>
        <w:t xml:space="preserve">field </w:t>
      </w:r>
      <w:r w:rsidR="00A24C8B" w:rsidRPr="00240534">
        <w:rPr>
          <w:rFonts w:ascii="Calibri" w:hAnsi="Calibri" w:cs="Calibri"/>
        </w:rPr>
        <w:t>to anal</w:t>
      </w:r>
      <w:r w:rsidRPr="00240534">
        <w:rPr>
          <w:rFonts w:ascii="Calibri" w:hAnsi="Calibri" w:cs="Calibri"/>
        </w:rPr>
        <w:t xml:space="preserve">yse the reliability of </w:t>
      </w:r>
      <w:r w:rsidR="00A24C8B" w:rsidRPr="00240534">
        <w:rPr>
          <w:rFonts w:ascii="Calibri" w:hAnsi="Calibri" w:cs="Calibri"/>
        </w:rPr>
        <w:t>systems</w:t>
      </w:r>
      <w:r w:rsidRPr="00240534">
        <w:rPr>
          <w:rFonts w:ascii="Calibri" w:hAnsi="Calibri" w:cs="Calibri"/>
        </w:rPr>
        <w:t xml:space="preserve"> by determining how various component failures of the system can propagate to cause a total system failure</w:t>
      </w:r>
      <w:r w:rsidR="00A24C8B" w:rsidRPr="00240534">
        <w:rPr>
          <w:rFonts w:ascii="Calibri" w:hAnsi="Calibri" w:cs="Calibri"/>
        </w:rPr>
        <w:t>.</w:t>
      </w:r>
      <w:r w:rsidR="00123AD6" w:rsidRPr="00240534">
        <w:rPr>
          <w:rFonts w:ascii="Calibri" w:hAnsi="Calibri" w:cs="Calibri"/>
        </w:rPr>
        <w:t xml:space="preserve"> </w:t>
      </w:r>
      <w:r w:rsidR="00FC254D" w:rsidRPr="00240534">
        <w:rPr>
          <w:rFonts w:ascii="Calibri" w:hAnsi="Calibri" w:cs="Calibri"/>
        </w:rPr>
        <w:t>However,</w:t>
      </w:r>
      <w:r w:rsidR="00DF7D13" w:rsidRPr="00240534">
        <w:rPr>
          <w:rFonts w:ascii="Calibri" w:hAnsi="Calibri" w:cs="Calibri"/>
        </w:rPr>
        <w:t xml:space="preserve"> traditional FTA is </w:t>
      </w:r>
      <w:r w:rsidR="004176FB" w:rsidRPr="00240534">
        <w:rPr>
          <w:rFonts w:ascii="Calibri" w:hAnsi="Calibri" w:cs="Calibri"/>
        </w:rPr>
        <w:t>unable to capture</w:t>
      </w:r>
      <w:r w:rsidR="00DF7D13" w:rsidRPr="00240534">
        <w:rPr>
          <w:rFonts w:ascii="Calibri" w:hAnsi="Calibri" w:cs="Calibri"/>
        </w:rPr>
        <w:t xml:space="preserve"> the </w:t>
      </w:r>
      <w:r w:rsidR="004176FB" w:rsidRPr="00240534">
        <w:rPr>
          <w:rFonts w:ascii="Calibri" w:hAnsi="Calibri" w:cs="Calibri"/>
        </w:rPr>
        <w:t xml:space="preserve">dynamic behaviour (or </w:t>
      </w:r>
      <w:r w:rsidR="00DF7D13" w:rsidRPr="00240534">
        <w:rPr>
          <w:rFonts w:ascii="Calibri" w:hAnsi="Calibri" w:cs="Calibri"/>
        </w:rPr>
        <w:t>sequential dependencies</w:t>
      </w:r>
      <w:r w:rsidR="004176FB" w:rsidRPr="00240534">
        <w:rPr>
          <w:rFonts w:ascii="Calibri" w:hAnsi="Calibri" w:cs="Calibri"/>
        </w:rPr>
        <w:t>)</w:t>
      </w:r>
      <w:r w:rsidR="00DF7D13" w:rsidRPr="00240534">
        <w:rPr>
          <w:rFonts w:ascii="Calibri" w:hAnsi="Calibri" w:cs="Calibri"/>
        </w:rPr>
        <w:t xml:space="preserve"> inherent in real-world systems. This limitation </w:t>
      </w:r>
      <w:r w:rsidR="004176FB" w:rsidRPr="00240534">
        <w:rPr>
          <w:rFonts w:ascii="Calibri" w:hAnsi="Calibri" w:cs="Calibri"/>
        </w:rPr>
        <w:t xml:space="preserve">can lead to inaccuracies in the results </w:t>
      </w:r>
      <w:r w:rsidR="00DE3207" w:rsidRPr="00240534">
        <w:rPr>
          <w:rFonts w:ascii="Calibri" w:hAnsi="Calibri" w:cs="Calibri"/>
        </w:rPr>
        <w:t xml:space="preserve">produced by </w:t>
      </w:r>
      <w:r w:rsidR="004176FB" w:rsidRPr="00240534">
        <w:rPr>
          <w:rFonts w:ascii="Calibri" w:hAnsi="Calibri" w:cs="Calibri"/>
        </w:rPr>
        <w:t>FTA when us</w:t>
      </w:r>
      <w:r w:rsidR="00123AD6" w:rsidRPr="00240534">
        <w:rPr>
          <w:rFonts w:ascii="Calibri" w:hAnsi="Calibri" w:cs="Calibri"/>
        </w:rPr>
        <w:t>ed on some real-world scenarios</w:t>
      </w:r>
      <w:r w:rsidR="0048671D" w:rsidRPr="00240534">
        <w:rPr>
          <w:rFonts w:ascii="Calibri" w:hAnsi="Calibri" w:cs="Calibri"/>
        </w:rPr>
        <w:t>.</w:t>
      </w:r>
    </w:p>
    <w:p w:rsidR="0048671D" w:rsidRPr="00240534" w:rsidRDefault="0048671D" w:rsidP="00240534">
      <w:pPr>
        <w:spacing w:line="240" w:lineRule="auto"/>
        <w:jc w:val="both"/>
        <w:rPr>
          <w:rFonts w:ascii="Calibri" w:hAnsi="Calibri" w:cs="Calibri"/>
        </w:rPr>
      </w:pPr>
    </w:p>
    <w:p w:rsidR="00180D3A" w:rsidRPr="00240534" w:rsidRDefault="00AA7175" w:rsidP="00240534">
      <w:pPr>
        <w:spacing w:line="240" w:lineRule="auto"/>
        <w:jc w:val="both"/>
        <w:rPr>
          <w:rFonts w:ascii="Calibri" w:hAnsi="Calibri" w:cs="Calibri"/>
        </w:rPr>
      </w:pPr>
      <w:r w:rsidRPr="00240534">
        <w:rPr>
          <w:rFonts w:ascii="Calibri" w:hAnsi="Calibri" w:cs="Calibri"/>
        </w:rPr>
        <w:t>In this paper, a recent improvement to FTA called Temporal Fault Tree (TFT) is used to analyse a supply chain with the aim of improving its resilience.</w:t>
      </w:r>
      <w:r w:rsidR="007A1BCC" w:rsidRPr="00240534">
        <w:rPr>
          <w:rFonts w:ascii="Calibri" w:hAnsi="Calibri" w:cs="Calibri"/>
        </w:rPr>
        <w:t xml:space="preserve"> </w:t>
      </w:r>
      <w:r w:rsidR="00437FB9" w:rsidRPr="00240534">
        <w:rPr>
          <w:rFonts w:ascii="Calibri" w:hAnsi="Calibri" w:cs="Calibri"/>
        </w:rPr>
        <w:t>First</w:t>
      </w:r>
      <w:r w:rsidR="007A1BCC" w:rsidRPr="00240534">
        <w:rPr>
          <w:rFonts w:ascii="Calibri" w:hAnsi="Calibri" w:cs="Calibri"/>
        </w:rPr>
        <w:t xml:space="preserve">, there is a brief description and application of the logical gates in TFT. </w:t>
      </w:r>
      <w:r w:rsidR="00DC2C1B" w:rsidRPr="00240534">
        <w:rPr>
          <w:rFonts w:ascii="Calibri" w:hAnsi="Calibri" w:cs="Calibri"/>
        </w:rPr>
        <w:t xml:space="preserve">Using </w:t>
      </w:r>
      <w:r w:rsidR="006A3D87" w:rsidRPr="00240534">
        <w:rPr>
          <w:rFonts w:ascii="Calibri" w:hAnsi="Calibri" w:cs="Calibri"/>
        </w:rPr>
        <w:t>analytical approaches</w:t>
      </w:r>
      <w:r w:rsidR="00DC2C1B" w:rsidRPr="00240534">
        <w:rPr>
          <w:rFonts w:ascii="Calibri" w:hAnsi="Calibri" w:cs="Calibri"/>
        </w:rPr>
        <w:t>, t</w:t>
      </w:r>
      <w:r w:rsidR="007A1BCC" w:rsidRPr="00240534">
        <w:rPr>
          <w:rFonts w:ascii="Calibri" w:hAnsi="Calibri" w:cs="Calibri"/>
        </w:rPr>
        <w:t xml:space="preserve">hese gates </w:t>
      </w:r>
      <w:r w:rsidR="009D0F40" w:rsidRPr="00240534">
        <w:rPr>
          <w:rFonts w:ascii="Calibri" w:hAnsi="Calibri" w:cs="Calibri"/>
        </w:rPr>
        <w:t>are used</w:t>
      </w:r>
      <w:r w:rsidR="007A1BCC" w:rsidRPr="00240534">
        <w:rPr>
          <w:rFonts w:ascii="Calibri" w:hAnsi="Calibri" w:cs="Calibri"/>
        </w:rPr>
        <w:t xml:space="preserve"> to model and analyse</w:t>
      </w:r>
      <w:r w:rsidR="008E0B01" w:rsidRPr="00240534">
        <w:rPr>
          <w:rFonts w:ascii="Calibri" w:hAnsi="Calibri" w:cs="Calibri"/>
        </w:rPr>
        <w:t xml:space="preserve"> (logically and probabilistically)</w:t>
      </w:r>
      <w:r w:rsidR="007A1BCC" w:rsidRPr="00240534">
        <w:rPr>
          <w:rFonts w:ascii="Calibri" w:hAnsi="Calibri" w:cs="Calibri"/>
        </w:rPr>
        <w:t xml:space="preserve"> the risk drivers of a hypothetical supply chain network. </w:t>
      </w:r>
      <w:r w:rsidR="008F7AA2" w:rsidRPr="00240534">
        <w:rPr>
          <w:rFonts w:ascii="Calibri" w:hAnsi="Calibri" w:cs="Calibri"/>
        </w:rPr>
        <w:t xml:space="preserve">Finally, a discussion of the results </w:t>
      </w:r>
      <w:r w:rsidR="006A3D87" w:rsidRPr="00240534">
        <w:rPr>
          <w:rFonts w:ascii="Calibri" w:hAnsi="Calibri" w:cs="Calibri"/>
        </w:rPr>
        <w:t>is</w:t>
      </w:r>
      <w:r w:rsidR="00437FB9" w:rsidRPr="00240534">
        <w:rPr>
          <w:rFonts w:ascii="Calibri" w:hAnsi="Calibri" w:cs="Calibri"/>
        </w:rPr>
        <w:t xml:space="preserve"> </w:t>
      </w:r>
      <w:r w:rsidR="008F7AA2" w:rsidRPr="00240534">
        <w:rPr>
          <w:rFonts w:ascii="Calibri" w:hAnsi="Calibri" w:cs="Calibri"/>
        </w:rPr>
        <w:t>made</w:t>
      </w:r>
      <w:r w:rsidR="00437FB9" w:rsidRPr="00240534">
        <w:rPr>
          <w:rFonts w:ascii="Calibri" w:hAnsi="Calibri" w:cs="Calibri"/>
        </w:rPr>
        <w:t xml:space="preserve"> to</w:t>
      </w:r>
      <w:r w:rsidR="008F7AA2" w:rsidRPr="00240534">
        <w:rPr>
          <w:rFonts w:ascii="Calibri" w:hAnsi="Calibri" w:cs="Calibri"/>
        </w:rPr>
        <w:t xml:space="preserve"> provide some insight into how the supply chain can be improved to make it more resilient.</w:t>
      </w:r>
      <w:r w:rsidR="007A1BCC" w:rsidRPr="00240534">
        <w:rPr>
          <w:rFonts w:ascii="Calibri" w:hAnsi="Calibri" w:cs="Calibri"/>
        </w:rPr>
        <w:t xml:space="preserve"> </w:t>
      </w:r>
      <w:r w:rsidR="005971F1" w:rsidRPr="00240534">
        <w:rPr>
          <w:rFonts w:ascii="Calibri" w:hAnsi="Calibri" w:cs="Calibri"/>
        </w:rPr>
        <w:t xml:space="preserve">The main contribution of this paper is the </w:t>
      </w:r>
      <w:r w:rsidR="00437FB9" w:rsidRPr="00240534">
        <w:rPr>
          <w:rFonts w:ascii="Calibri" w:hAnsi="Calibri" w:cs="Calibri"/>
        </w:rPr>
        <w:t>development</w:t>
      </w:r>
      <w:r w:rsidR="005971F1" w:rsidRPr="00240534">
        <w:rPr>
          <w:rFonts w:ascii="Calibri" w:hAnsi="Calibri" w:cs="Calibri"/>
        </w:rPr>
        <w:t xml:space="preserve"> of </w:t>
      </w:r>
      <w:r w:rsidR="00437FB9" w:rsidRPr="00240534">
        <w:rPr>
          <w:rFonts w:ascii="Calibri" w:hAnsi="Calibri" w:cs="Calibri"/>
        </w:rPr>
        <w:t xml:space="preserve">TFT-based </w:t>
      </w:r>
      <w:r w:rsidR="005971F1" w:rsidRPr="00240534">
        <w:rPr>
          <w:rFonts w:ascii="Calibri" w:hAnsi="Calibri" w:cs="Calibri"/>
        </w:rPr>
        <w:t xml:space="preserve">techniques </w:t>
      </w:r>
      <w:r w:rsidR="00437FB9" w:rsidRPr="00240534">
        <w:rPr>
          <w:rFonts w:ascii="Calibri" w:hAnsi="Calibri" w:cs="Calibri"/>
        </w:rPr>
        <w:t>to</w:t>
      </w:r>
      <w:r w:rsidR="00586D0D" w:rsidRPr="00240534">
        <w:rPr>
          <w:rFonts w:ascii="Calibri" w:hAnsi="Calibri" w:cs="Calibri"/>
        </w:rPr>
        <w:t xml:space="preserve"> analys</w:t>
      </w:r>
      <w:r w:rsidR="00437FB9" w:rsidRPr="00240534">
        <w:rPr>
          <w:rFonts w:ascii="Calibri" w:hAnsi="Calibri" w:cs="Calibri"/>
        </w:rPr>
        <w:t>e</w:t>
      </w:r>
      <w:r w:rsidR="00586D0D" w:rsidRPr="00240534">
        <w:rPr>
          <w:rFonts w:ascii="Calibri" w:hAnsi="Calibri" w:cs="Calibri"/>
        </w:rPr>
        <w:t xml:space="preserve"> real-world supply chain risk drivers more accurately to improve</w:t>
      </w:r>
      <w:r w:rsidR="005971F1" w:rsidRPr="00240534">
        <w:rPr>
          <w:rFonts w:ascii="Calibri" w:hAnsi="Calibri" w:cs="Calibri"/>
        </w:rPr>
        <w:t xml:space="preserve"> supply chain resilience.</w:t>
      </w:r>
    </w:p>
    <w:p w:rsidR="006660C1" w:rsidRPr="00240534" w:rsidRDefault="006660C1" w:rsidP="00240534">
      <w:pPr>
        <w:spacing w:line="240" w:lineRule="auto"/>
        <w:jc w:val="both"/>
        <w:rPr>
          <w:rFonts w:ascii="Calibri" w:hAnsi="Calibri" w:cs="Calibri"/>
        </w:rPr>
      </w:pPr>
    </w:p>
    <w:p w:rsidR="00D23E2D" w:rsidRPr="00240534" w:rsidRDefault="00240534" w:rsidP="00240534">
      <w:pPr>
        <w:pStyle w:val="Heading1"/>
        <w:spacing w:line="240" w:lineRule="auto"/>
        <w:jc w:val="both"/>
        <w:rPr>
          <w:rFonts w:ascii="Calibri" w:hAnsi="Calibri" w:cs="Calibri"/>
          <w:szCs w:val="22"/>
        </w:rPr>
      </w:pPr>
      <w:r>
        <w:rPr>
          <w:rFonts w:ascii="Calibri" w:hAnsi="Calibri" w:cs="Calibri"/>
          <w:szCs w:val="22"/>
        </w:rPr>
        <w:t>Literature r</w:t>
      </w:r>
      <w:r w:rsidR="00D23E2D" w:rsidRPr="00240534">
        <w:rPr>
          <w:rFonts w:ascii="Calibri" w:hAnsi="Calibri" w:cs="Calibri"/>
          <w:szCs w:val="22"/>
        </w:rPr>
        <w:t>eview</w:t>
      </w:r>
    </w:p>
    <w:p w:rsidR="00C76BBC" w:rsidRPr="00240534" w:rsidRDefault="00C76BBC" w:rsidP="00240534">
      <w:pPr>
        <w:spacing w:line="240" w:lineRule="auto"/>
        <w:jc w:val="both"/>
        <w:rPr>
          <w:rFonts w:ascii="Calibri" w:hAnsi="Calibri" w:cs="Calibri"/>
        </w:rPr>
      </w:pPr>
      <w:r w:rsidRPr="00240534">
        <w:rPr>
          <w:rFonts w:ascii="Calibri" w:hAnsi="Calibri" w:cs="Calibri"/>
        </w:rPr>
        <w:t>The business environment is continuously increasing in complexity, specifically with factors of risk becoming heavily interrelated (</w:t>
      </w:r>
      <w:proofErr w:type="spellStart"/>
      <w:r w:rsidRPr="00240534">
        <w:rPr>
          <w:rFonts w:ascii="Calibri" w:hAnsi="Calibri" w:cs="Calibri"/>
        </w:rPr>
        <w:t>Manuj</w:t>
      </w:r>
      <w:proofErr w:type="spellEnd"/>
      <w:r w:rsidRPr="00240534">
        <w:rPr>
          <w:rFonts w:ascii="Calibri" w:hAnsi="Calibri" w:cs="Calibri"/>
        </w:rPr>
        <w:t xml:space="preserve"> </w:t>
      </w:r>
      <w:r w:rsidR="00D23C52" w:rsidRPr="00240534">
        <w:rPr>
          <w:rFonts w:ascii="Calibri" w:hAnsi="Calibri" w:cs="Calibri"/>
        </w:rPr>
        <w:t>and</w:t>
      </w:r>
      <w:r w:rsidRPr="00240534">
        <w:rPr>
          <w:rFonts w:ascii="Calibri" w:hAnsi="Calibri" w:cs="Calibri"/>
        </w:rPr>
        <w:t xml:space="preserve"> </w:t>
      </w:r>
      <w:proofErr w:type="spellStart"/>
      <w:r w:rsidRPr="00240534">
        <w:rPr>
          <w:rFonts w:ascii="Calibri" w:hAnsi="Calibri" w:cs="Calibri"/>
        </w:rPr>
        <w:t>Mentzer</w:t>
      </w:r>
      <w:proofErr w:type="spellEnd"/>
      <w:r w:rsidRPr="00240534">
        <w:rPr>
          <w:rFonts w:ascii="Calibri" w:hAnsi="Calibri" w:cs="Calibri"/>
        </w:rPr>
        <w:t>, 2008). Subsequently, appropriate resilience to risk is becoming more challenging as the task of detecting the catalyst of failure is more time consuming and problematic (</w:t>
      </w:r>
      <w:proofErr w:type="spellStart"/>
      <w:r w:rsidRPr="00240534">
        <w:rPr>
          <w:rFonts w:ascii="Calibri" w:hAnsi="Calibri" w:cs="Calibri"/>
        </w:rPr>
        <w:t>Craighead</w:t>
      </w:r>
      <w:proofErr w:type="spellEnd"/>
      <w:r w:rsidRPr="00240534">
        <w:rPr>
          <w:rFonts w:ascii="Calibri" w:hAnsi="Calibri" w:cs="Calibri"/>
        </w:rPr>
        <w:t xml:space="preserve"> et al</w:t>
      </w:r>
      <w:r w:rsidR="002F693C" w:rsidRPr="00240534">
        <w:rPr>
          <w:rFonts w:ascii="Calibri" w:hAnsi="Calibri" w:cs="Calibri"/>
        </w:rPr>
        <w:t>.</w:t>
      </w:r>
      <w:r w:rsidRPr="00240534">
        <w:rPr>
          <w:rFonts w:ascii="Calibri" w:hAnsi="Calibri" w:cs="Calibri"/>
        </w:rPr>
        <w:t xml:space="preserve">, 2007; </w:t>
      </w:r>
      <w:proofErr w:type="spellStart"/>
      <w:r w:rsidRPr="00240534">
        <w:rPr>
          <w:rFonts w:ascii="Calibri" w:hAnsi="Calibri" w:cs="Calibri"/>
        </w:rPr>
        <w:t>Simchi</w:t>
      </w:r>
      <w:proofErr w:type="spellEnd"/>
      <w:r w:rsidRPr="00240534">
        <w:rPr>
          <w:rFonts w:ascii="Calibri" w:hAnsi="Calibri" w:cs="Calibri"/>
        </w:rPr>
        <w:t>-Levi et al</w:t>
      </w:r>
      <w:r w:rsidR="002F693C" w:rsidRPr="00240534">
        <w:rPr>
          <w:rFonts w:ascii="Calibri" w:hAnsi="Calibri" w:cs="Calibri"/>
        </w:rPr>
        <w:t>.</w:t>
      </w:r>
      <w:r w:rsidRPr="00240534">
        <w:rPr>
          <w:rFonts w:ascii="Calibri" w:hAnsi="Calibri" w:cs="Calibri"/>
        </w:rPr>
        <w:t xml:space="preserve">,2015). Not only do internal risk factors have a potentially significant harmful effect on any company, the resulting systemic knock-on effects impact the wider supply chain, causing the interrelated links between the elements of the business environment to change in a way that may be even harder to understand (World Economic Forum, 2018). This in turn has significant implications for investment priorities, resource allocation and placement within the context of a risk mitigation strategy (Chopra </w:t>
      </w:r>
      <w:r w:rsidR="00D23C52" w:rsidRPr="00240534">
        <w:rPr>
          <w:rFonts w:ascii="Calibri" w:hAnsi="Calibri" w:cs="Calibri"/>
        </w:rPr>
        <w:t>and</w:t>
      </w:r>
      <w:r w:rsidRPr="00240534">
        <w:rPr>
          <w:rFonts w:ascii="Calibri" w:hAnsi="Calibri" w:cs="Calibri"/>
        </w:rPr>
        <w:t xml:space="preserve"> </w:t>
      </w:r>
      <w:proofErr w:type="spellStart"/>
      <w:r w:rsidRPr="00240534">
        <w:rPr>
          <w:rFonts w:ascii="Calibri" w:hAnsi="Calibri" w:cs="Calibri"/>
        </w:rPr>
        <w:t>Sodhi</w:t>
      </w:r>
      <w:proofErr w:type="spellEnd"/>
      <w:r w:rsidRPr="00240534">
        <w:rPr>
          <w:rFonts w:ascii="Calibri" w:hAnsi="Calibri" w:cs="Calibri"/>
        </w:rPr>
        <w:t>, 2004; Tang, 2006). This has led to an increased focus on supply chain resilience and the development of conceptual frameworks to facilitate a better understanding of its antecedents and dynamics (Pettit et al</w:t>
      </w:r>
      <w:r w:rsidR="002F693C" w:rsidRPr="00240534">
        <w:rPr>
          <w:rFonts w:ascii="Calibri" w:hAnsi="Calibri" w:cs="Calibri"/>
        </w:rPr>
        <w:t>.</w:t>
      </w:r>
      <w:r w:rsidRPr="00240534">
        <w:rPr>
          <w:rFonts w:ascii="Calibri" w:hAnsi="Calibri" w:cs="Calibri"/>
        </w:rPr>
        <w:t xml:space="preserve">, 2010; </w:t>
      </w:r>
      <w:proofErr w:type="spellStart"/>
      <w:r w:rsidRPr="00240534">
        <w:rPr>
          <w:rFonts w:ascii="Calibri" w:hAnsi="Calibri" w:cs="Calibri"/>
        </w:rPr>
        <w:t>Ponis</w:t>
      </w:r>
      <w:proofErr w:type="spellEnd"/>
      <w:r w:rsidRPr="00240534">
        <w:rPr>
          <w:rFonts w:ascii="Calibri" w:hAnsi="Calibri" w:cs="Calibri"/>
        </w:rPr>
        <w:t xml:space="preserve"> </w:t>
      </w:r>
      <w:r w:rsidR="00D23C52" w:rsidRPr="00240534">
        <w:rPr>
          <w:rFonts w:ascii="Calibri" w:hAnsi="Calibri" w:cs="Calibri"/>
        </w:rPr>
        <w:t>and</w:t>
      </w:r>
      <w:r w:rsidRPr="00240534">
        <w:rPr>
          <w:rFonts w:ascii="Calibri" w:hAnsi="Calibri" w:cs="Calibri"/>
        </w:rPr>
        <w:t xml:space="preserve"> </w:t>
      </w:r>
      <w:proofErr w:type="spellStart"/>
      <w:r w:rsidRPr="00240534">
        <w:rPr>
          <w:rFonts w:ascii="Calibri" w:hAnsi="Calibri" w:cs="Calibri"/>
        </w:rPr>
        <w:t>Koronis</w:t>
      </w:r>
      <w:proofErr w:type="spellEnd"/>
      <w:r w:rsidRPr="00240534">
        <w:rPr>
          <w:rFonts w:ascii="Calibri" w:hAnsi="Calibri" w:cs="Calibri"/>
        </w:rPr>
        <w:t>, 2012).</w:t>
      </w:r>
    </w:p>
    <w:p w:rsidR="00C76BBC" w:rsidRPr="00240534" w:rsidRDefault="00C76BBC" w:rsidP="00240534">
      <w:pPr>
        <w:spacing w:line="240" w:lineRule="auto"/>
        <w:jc w:val="both"/>
        <w:rPr>
          <w:rFonts w:ascii="Calibri" w:hAnsi="Calibri" w:cs="Calibri"/>
        </w:rPr>
      </w:pPr>
    </w:p>
    <w:p w:rsidR="00BA3C8E" w:rsidRPr="00240534" w:rsidRDefault="00C76BBC" w:rsidP="00240534">
      <w:pPr>
        <w:spacing w:line="240" w:lineRule="auto"/>
        <w:jc w:val="both"/>
        <w:rPr>
          <w:rFonts w:ascii="Calibri" w:hAnsi="Calibri" w:cs="Calibri"/>
        </w:rPr>
      </w:pPr>
      <w:r w:rsidRPr="00240534">
        <w:rPr>
          <w:rFonts w:ascii="Calibri" w:hAnsi="Calibri" w:cs="Calibri"/>
        </w:rPr>
        <w:t xml:space="preserve">One fundamental theme emerging from the literature on supply chain resilience is the need for optimisation of the resilience of a supply chain strategy or </w:t>
      </w:r>
      <w:proofErr w:type="gramStart"/>
      <w:r w:rsidRPr="00240534">
        <w:rPr>
          <w:rFonts w:ascii="Calibri" w:hAnsi="Calibri" w:cs="Calibri"/>
        </w:rPr>
        <w:t>configuration  (</w:t>
      </w:r>
      <w:proofErr w:type="gramEnd"/>
      <w:r w:rsidRPr="00240534">
        <w:rPr>
          <w:rFonts w:ascii="Calibri" w:hAnsi="Calibri" w:cs="Calibri"/>
        </w:rPr>
        <w:t xml:space="preserve">Machado et al., 2009). Many models are available to optimise supply chain design in the context of risk. Several are heuristics based (e.g. Baumgartner </w:t>
      </w:r>
      <w:r w:rsidR="00D23C52" w:rsidRPr="00240534">
        <w:rPr>
          <w:rFonts w:ascii="Calibri" w:hAnsi="Calibri" w:cs="Calibri"/>
        </w:rPr>
        <w:t>and</w:t>
      </w:r>
      <w:r w:rsidRPr="00240534">
        <w:rPr>
          <w:rFonts w:ascii="Calibri" w:hAnsi="Calibri" w:cs="Calibri"/>
        </w:rPr>
        <w:t xml:space="preserve"> </w:t>
      </w:r>
      <w:proofErr w:type="spellStart"/>
      <w:r w:rsidRPr="00240534">
        <w:rPr>
          <w:rFonts w:ascii="Calibri" w:hAnsi="Calibri" w:cs="Calibri"/>
        </w:rPr>
        <w:t>Thonemann</w:t>
      </w:r>
      <w:proofErr w:type="spellEnd"/>
      <w:r w:rsidRPr="00240534">
        <w:rPr>
          <w:rFonts w:ascii="Calibri" w:hAnsi="Calibri" w:cs="Calibri"/>
        </w:rPr>
        <w:t xml:space="preserve">, 2010; Pan and </w:t>
      </w:r>
      <w:proofErr w:type="spellStart"/>
      <w:r w:rsidRPr="00240534">
        <w:rPr>
          <w:rFonts w:ascii="Calibri" w:hAnsi="Calibri" w:cs="Calibri"/>
        </w:rPr>
        <w:t>Nagi</w:t>
      </w:r>
      <w:proofErr w:type="spellEnd"/>
      <w:r w:rsidRPr="00240534">
        <w:rPr>
          <w:rFonts w:ascii="Calibri" w:hAnsi="Calibri" w:cs="Calibri"/>
        </w:rPr>
        <w:t xml:space="preserve">, 2010). Such linear approaches fail to capture the dynamic nature and complex network of relationships in a supply chain. A promising alternative is the utilisation of Fault Tree analysis to simulate the cause and consequences of </w:t>
      </w:r>
      <w:r w:rsidR="00463885" w:rsidRPr="00240534">
        <w:rPr>
          <w:rFonts w:ascii="Calibri" w:hAnsi="Calibri" w:cs="Calibri"/>
        </w:rPr>
        <w:t>a disruption in a supply chain (</w:t>
      </w:r>
      <w:proofErr w:type="spellStart"/>
      <w:r w:rsidR="00463885" w:rsidRPr="00240534">
        <w:rPr>
          <w:rFonts w:ascii="Calibri" w:hAnsi="Calibri" w:cs="Calibri"/>
        </w:rPr>
        <w:t>Ziegenbein</w:t>
      </w:r>
      <w:proofErr w:type="spellEnd"/>
      <w:r w:rsidR="00463885" w:rsidRPr="00240534">
        <w:rPr>
          <w:rFonts w:ascii="Calibri" w:hAnsi="Calibri" w:cs="Calibri"/>
        </w:rPr>
        <w:t xml:space="preserve"> </w:t>
      </w:r>
      <w:r w:rsidR="00D23C52" w:rsidRPr="00240534">
        <w:rPr>
          <w:rFonts w:ascii="Calibri" w:hAnsi="Calibri" w:cs="Calibri"/>
        </w:rPr>
        <w:t>and</w:t>
      </w:r>
      <w:r w:rsidR="00463885" w:rsidRPr="00240534">
        <w:rPr>
          <w:rFonts w:ascii="Calibri" w:hAnsi="Calibri" w:cs="Calibri"/>
        </w:rPr>
        <w:t xml:space="preserve"> </w:t>
      </w:r>
      <w:proofErr w:type="spellStart"/>
      <w:r w:rsidR="00463885" w:rsidRPr="00240534">
        <w:rPr>
          <w:rFonts w:ascii="Calibri" w:hAnsi="Calibri" w:cs="Calibri"/>
        </w:rPr>
        <w:t>Baumgart</w:t>
      </w:r>
      <w:proofErr w:type="spellEnd"/>
      <w:r w:rsidR="00463885" w:rsidRPr="00240534">
        <w:rPr>
          <w:rFonts w:ascii="Calibri" w:hAnsi="Calibri" w:cs="Calibri"/>
        </w:rPr>
        <w:t>, 2006</w:t>
      </w:r>
      <w:r w:rsidRPr="00240534">
        <w:rPr>
          <w:rFonts w:ascii="Calibri" w:hAnsi="Calibri" w:cs="Calibri"/>
        </w:rPr>
        <w:t>).</w:t>
      </w:r>
    </w:p>
    <w:p w:rsidR="002211DD" w:rsidRPr="00240534" w:rsidRDefault="00A25400" w:rsidP="00240534">
      <w:pPr>
        <w:spacing w:line="240" w:lineRule="auto"/>
        <w:jc w:val="both"/>
        <w:rPr>
          <w:rFonts w:ascii="Calibri" w:hAnsi="Calibri" w:cs="Calibri"/>
        </w:rPr>
      </w:pPr>
      <w:r w:rsidRPr="00240534">
        <w:rPr>
          <w:rFonts w:ascii="Calibri" w:hAnsi="Calibri" w:cs="Calibri"/>
        </w:rPr>
        <w:lastRenderedPageBreak/>
        <w:t>FTA</w:t>
      </w:r>
      <w:r w:rsidR="001F6BCC" w:rsidRPr="00240534">
        <w:rPr>
          <w:rFonts w:ascii="Calibri" w:hAnsi="Calibri" w:cs="Calibri"/>
        </w:rPr>
        <w:t xml:space="preserve"> </w:t>
      </w:r>
      <w:r w:rsidR="00CA3CD4" w:rsidRPr="00240534">
        <w:rPr>
          <w:rFonts w:ascii="Calibri" w:hAnsi="Calibri" w:cs="Calibri"/>
        </w:rPr>
        <w:fldChar w:fldCharType="begin" w:fldLock="1"/>
      </w:r>
      <w:r w:rsidR="00CA3CD4" w:rsidRPr="00240534">
        <w:rPr>
          <w:rFonts w:ascii="Calibri" w:hAnsi="Calibri" w:cs="Calibri"/>
        </w:rPr>
        <w:instrText>ADDIN CSL_CITATION { "citationItems" : [ { "id" : "ITEM-1", "itemData" : { "author" : [ { "dropping-particle" : "", "family" : "Vesely", "given" : "W E", "non-dropping-particle" : "", "parse-names" : false, "suffix" : "" }, { "dropping-particle" : "", "family" : "Stamatelatos", "given" : "M", "non-dropping-particle" : "", "parse-names" : false, "suffix" : "" }, { "dropping-particle" : "", "family" : "Dugan", "given" : "J B", "non-dropping-particle" : "", "parse-names" : false, "suffix" : "" }, { "dropping-particle" : "", "family" : "Fragola", "given" : "J", "non-dropping-particle" : "", "parse-names" : false, "suffix" : "" }, { "dropping-particle" : "", "family" : "Minarick", "given" : "J", "non-dropping-particle" : "", "parse-names" : false, "suffix" : "" }, { "dropping-particle" : "", "family" : "Railsback", "given" : "J", "non-dropping-particle" : "", "parse-names" : false, "suffix" : "" } ], "id" : "ITEM-1", "issued" : { "date-parts" : [ [ "2002" ] ] }, "publisher" : "NASA Office of Safety and Mission Assurance", "publisher-place" : "Washington DC", "title" : "Fault Tree Handbook with Aerospace Applications", "type" : "book" }, "uris" : [ "http://www.mendeley.com/documents/?uuid=c3e7e4e7-79a2-4417-8181-13985b38ac77" ] } ], "mendeley" : { "formattedCitation" : "(Vesely et al., 2002)", "plainTextFormattedCitation" : "(Vesely et al., 2002)" }, "properties" : { "noteIndex" : 0 }, "schema" : "https://github.com/citation-style-language/schema/raw/master/csl-citation.json" }</w:instrText>
      </w:r>
      <w:r w:rsidR="00CA3CD4" w:rsidRPr="00240534">
        <w:rPr>
          <w:rFonts w:ascii="Calibri" w:hAnsi="Calibri" w:cs="Calibri"/>
        </w:rPr>
        <w:fldChar w:fldCharType="separate"/>
      </w:r>
      <w:r w:rsidR="00CA3CD4" w:rsidRPr="00240534">
        <w:rPr>
          <w:rFonts w:ascii="Calibri" w:hAnsi="Calibri" w:cs="Calibri"/>
          <w:noProof/>
        </w:rPr>
        <w:t>(Vesely et al., 2002)</w:t>
      </w:r>
      <w:r w:rsidR="00CA3CD4" w:rsidRPr="00240534">
        <w:rPr>
          <w:rFonts w:ascii="Calibri" w:hAnsi="Calibri" w:cs="Calibri"/>
        </w:rPr>
        <w:fldChar w:fldCharType="end"/>
      </w:r>
      <w:r w:rsidR="001F6BCC" w:rsidRPr="00240534">
        <w:rPr>
          <w:rFonts w:ascii="Calibri" w:hAnsi="Calibri" w:cs="Calibri"/>
        </w:rPr>
        <w:t>, developed over 6 decades ago, is a Probabilistic Safety Assessment (PSA) technique.</w:t>
      </w:r>
      <w:r w:rsidR="00702AFF" w:rsidRPr="00240534">
        <w:rPr>
          <w:rFonts w:ascii="Calibri" w:hAnsi="Calibri" w:cs="Calibri"/>
        </w:rPr>
        <w:t xml:space="preserve"> It is a top-down approach of determining how the basic component failures of a system can propagate to cause an entire system failure.</w:t>
      </w:r>
      <w:r w:rsidR="00E559EE" w:rsidRPr="00240534">
        <w:rPr>
          <w:rFonts w:ascii="Calibri" w:hAnsi="Calibri" w:cs="Calibri"/>
        </w:rPr>
        <w:t xml:space="preserve"> Traditionally, FTA uses the Boolean gates AND </w:t>
      </w:r>
      <w:proofErr w:type="spellStart"/>
      <w:r w:rsidR="00E559EE" w:rsidRPr="00240534">
        <w:rPr>
          <w:rFonts w:ascii="Calibri" w:hAnsi="Calibri" w:cs="Calibri"/>
        </w:rPr>
        <w:t>and</w:t>
      </w:r>
      <w:proofErr w:type="spellEnd"/>
      <w:r w:rsidR="00E559EE" w:rsidRPr="00240534">
        <w:rPr>
          <w:rFonts w:ascii="Calibri" w:hAnsi="Calibri" w:cs="Calibri"/>
        </w:rPr>
        <w:t xml:space="preserve"> OR to model relationships between two or more events. The AND gate is fired when all the events have occurred and the OR gate is fired when at least one of the events have occurred. </w:t>
      </w:r>
      <w:r w:rsidR="00A97E8A" w:rsidRPr="00240534">
        <w:rPr>
          <w:rFonts w:ascii="Calibri" w:hAnsi="Calibri" w:cs="Calibri"/>
        </w:rPr>
        <w:t>A fault tree diagram is a graphical representation of the events (faults) of a system and the relationship between them.</w:t>
      </w:r>
      <w:r w:rsidR="00366B19" w:rsidRPr="00240534">
        <w:rPr>
          <w:rFonts w:ascii="Calibri" w:hAnsi="Calibri" w:cs="Calibri"/>
        </w:rPr>
        <w:t xml:space="preserve"> Once a fault tree of a system is constructed, two main types of analysis – </w:t>
      </w:r>
      <w:r w:rsidR="0081125C" w:rsidRPr="00240534">
        <w:rPr>
          <w:rFonts w:ascii="Calibri" w:hAnsi="Calibri" w:cs="Calibri"/>
        </w:rPr>
        <w:t>logical and probabilistic</w:t>
      </w:r>
      <w:r w:rsidR="00366B19" w:rsidRPr="00240534">
        <w:rPr>
          <w:rFonts w:ascii="Calibri" w:hAnsi="Calibri" w:cs="Calibri"/>
        </w:rPr>
        <w:t xml:space="preserve"> – can be performed.</w:t>
      </w:r>
      <w:r w:rsidR="0081125C" w:rsidRPr="00240534">
        <w:rPr>
          <w:rFonts w:ascii="Calibri" w:hAnsi="Calibri" w:cs="Calibri"/>
        </w:rPr>
        <w:t xml:space="preserve"> Logical (or qualitative) analysis involves the determination of the </w:t>
      </w:r>
      <w:r w:rsidR="00C136CD" w:rsidRPr="00240534">
        <w:rPr>
          <w:rFonts w:ascii="Calibri" w:hAnsi="Calibri" w:cs="Calibri"/>
        </w:rPr>
        <w:t>necessary and sufficient combinations of events that can cause the top-event (i.e. undesired system state).</w:t>
      </w:r>
      <w:r w:rsidR="00915464" w:rsidRPr="00240534">
        <w:rPr>
          <w:rFonts w:ascii="Calibri" w:hAnsi="Calibri" w:cs="Calibri"/>
        </w:rPr>
        <w:t xml:space="preserve"> Probabilistic (or quantitative) analysis involves the calculation of the failure probabilities of the events (including the top-event).</w:t>
      </w:r>
      <w:r w:rsidR="00774F15" w:rsidRPr="00240534">
        <w:rPr>
          <w:rFonts w:ascii="Calibri" w:hAnsi="Calibri" w:cs="Calibri"/>
        </w:rPr>
        <w:t xml:space="preserve"> A detailed description of FTA is presented in </w:t>
      </w:r>
      <w:r w:rsidR="002D4D82" w:rsidRPr="00240534">
        <w:rPr>
          <w:rFonts w:ascii="Calibri" w:hAnsi="Calibri" w:cs="Calibri"/>
        </w:rPr>
        <w:fldChar w:fldCharType="begin" w:fldLock="1"/>
      </w:r>
      <w:r w:rsidR="00CD5046" w:rsidRPr="00240534">
        <w:rPr>
          <w:rFonts w:ascii="Calibri" w:hAnsi="Calibri" w:cs="Calibri"/>
        </w:rPr>
        <w:instrText>ADDIN CSL_CITATION { "citationItems" : [ { "id" : "ITEM-1", "itemData" : { "author" : [ { "dropping-particle" : "", "family" : "Vesely", "given" : "W E", "non-dropping-particle" : "", "parse-names" : false, "suffix" : "" }, { "dropping-particle" : "", "family" : "Stamatelatos", "given" : "M", "non-dropping-particle" : "", "parse-names" : false, "suffix" : "" }, { "dropping-particle" : "", "family" : "Dugan", "given" : "J B", "non-dropping-particle" : "", "parse-names" : false, "suffix" : "" }, { "dropping-particle" : "", "family" : "Fragola", "given" : "J", "non-dropping-particle" : "", "parse-names" : false, "suffix" : "" }, { "dropping-particle" : "", "family" : "Minarick", "given" : "J", "non-dropping-particle" : "", "parse-names" : false, "suffix" : "" }, { "dropping-particle" : "", "family" : "Railsback", "given" : "J", "non-dropping-particle" : "", "parse-names" : false, "suffix" : "" } ], "id" : "ITEM-1", "issued" : { "date-parts" : [ [ "2002" ] ] }, "publisher" : "NASA Office of Safety and Mission Assurance", "publisher-place" : "Washington DC", "title" : "Fault Tree Handbook with Aerospace Applications", "type" : "book" }, "uris" : [ "http://www.mendeley.com/documents/?uuid=c3e7e4e7-79a2-4417-8181-13985b38ac77" ] } ], "mendeley" : { "formattedCitation" : "(Vesely et al., 2002)", "plainTextFormattedCitation" : "(Vesely et al., 2002)", "previouslyFormattedCitation" : "(Vesely et al., 2002)" }, "properties" : { "noteIndex" : 0 }, "schema" : "https://github.com/citation-style-language/schema/raw/master/csl-citation.json" }</w:instrText>
      </w:r>
      <w:r w:rsidR="002D4D82" w:rsidRPr="00240534">
        <w:rPr>
          <w:rFonts w:ascii="Calibri" w:hAnsi="Calibri" w:cs="Calibri"/>
        </w:rPr>
        <w:fldChar w:fldCharType="separate"/>
      </w:r>
      <w:r w:rsidR="00CD5046" w:rsidRPr="00240534">
        <w:rPr>
          <w:rFonts w:ascii="Calibri" w:hAnsi="Calibri" w:cs="Calibri"/>
          <w:noProof/>
        </w:rPr>
        <w:t>(Vesely et al., 2002)</w:t>
      </w:r>
      <w:r w:rsidR="002D4D82" w:rsidRPr="00240534">
        <w:rPr>
          <w:rFonts w:ascii="Calibri" w:hAnsi="Calibri" w:cs="Calibri"/>
        </w:rPr>
        <w:fldChar w:fldCharType="end"/>
      </w:r>
      <w:r w:rsidR="00774F15" w:rsidRPr="00240534">
        <w:rPr>
          <w:rFonts w:ascii="Calibri" w:hAnsi="Calibri" w:cs="Calibri"/>
        </w:rPr>
        <w:t>.</w:t>
      </w:r>
    </w:p>
    <w:p w:rsidR="00E9423F" w:rsidRPr="00240534" w:rsidRDefault="00E9423F" w:rsidP="00240534">
      <w:pPr>
        <w:spacing w:line="240" w:lineRule="auto"/>
        <w:jc w:val="both"/>
        <w:rPr>
          <w:rFonts w:ascii="Calibri" w:hAnsi="Calibri" w:cs="Calibri"/>
        </w:rPr>
      </w:pPr>
    </w:p>
    <w:p w:rsidR="00E9423F" w:rsidRPr="00240534" w:rsidRDefault="009D7006" w:rsidP="00240534">
      <w:pPr>
        <w:spacing w:line="240" w:lineRule="auto"/>
        <w:jc w:val="both"/>
        <w:rPr>
          <w:rFonts w:ascii="Calibri" w:hAnsi="Calibri" w:cs="Calibri"/>
        </w:rPr>
      </w:pPr>
      <w:r w:rsidRPr="00240534">
        <w:rPr>
          <w:rFonts w:ascii="Calibri" w:hAnsi="Calibri" w:cs="Calibri"/>
        </w:rPr>
        <w:t>C</w:t>
      </w:r>
      <w:r w:rsidR="00E9423F" w:rsidRPr="00240534">
        <w:rPr>
          <w:rFonts w:ascii="Calibri" w:hAnsi="Calibri" w:cs="Calibri"/>
        </w:rPr>
        <w:t xml:space="preserve">lassical FTA is unable to capture dynamic real-world events that have sequential dependencies </w:t>
      </w:r>
      <w:r w:rsidR="00B068CE" w:rsidRPr="00240534">
        <w:rPr>
          <w:rFonts w:ascii="Calibri" w:hAnsi="Calibri" w:cs="Calibri"/>
        </w:rPr>
        <w:t xml:space="preserve">which </w:t>
      </w:r>
      <w:r w:rsidR="008A09AD" w:rsidRPr="00240534">
        <w:rPr>
          <w:rFonts w:ascii="Calibri" w:hAnsi="Calibri" w:cs="Calibri"/>
        </w:rPr>
        <w:t xml:space="preserve">leads to inaccuracies in the logical and probabilistic analysis </w:t>
      </w:r>
      <w:r w:rsidR="002D4D82" w:rsidRPr="00240534">
        <w:rPr>
          <w:rFonts w:ascii="Calibri" w:hAnsi="Calibri" w:cs="Calibri"/>
        </w:rPr>
        <w:fldChar w:fldCharType="begin" w:fldLock="1"/>
      </w:r>
      <w:r w:rsidR="00C7537D" w:rsidRPr="00240534">
        <w:rPr>
          <w:rFonts w:ascii="Calibri" w:hAnsi="Calibri" w:cs="Calibri"/>
        </w:rPr>
        <w:instrText>ADDIN CSL_CITATION { "citationItems" : [ { "id" : "ITEM-1", "itemData" : { "DOI" : "10.1109/24.159800", "ISSN" : "00189529", "author" : [ { "dropping-particle" : "", "family" : "Dugan", "given" : "J.B.", "non-dropping-particle" : "", "parse-names" : false, "suffix" : "" }, { "dropping-particle" : "", "family" : "Bavuso", "given" : "S.J.", "non-dropping-particle" : "", "parse-names" : false, "suffix" : "" }, { "dropping-particle" : "", "family" : "Boyd", "given" : "M.a.", "non-dropping-particle" : "", "parse-names" : false, "suffix" : "" } ], "container-title" : "IEEE Transactions on Reliability", "id" : "ITEM-1", "issue" : "3", "issued" : { "date-parts" : [ [ "1992" ] ] }, "page" : "363-377", "title" : "Dynamic Fault-Tree Models for Fault-Tolerant Computer Systems", "type" : "article-journal", "volume" : "41" }, "uris" : [ "http://www.mendeley.com/documents/?uuid=9bcf8a49-cedc-4ee2-a910-743af97bc8ec" ] }, { "id" : "ITEM-2", "itemData" : { "ISBN" : "0780337832", "author" : [ { "dropping-particle" : "", "family" : "Gulati", "given" : "Rohit", "non-dropping-particle" : "", "parse-names" : false, "suffix" : "" }, { "dropping-particle" : "", "family" : "Dugan", "given" : "JB", "non-dropping-particle" : "", "parse-names" : false, "suffix" : "" } ], "container-title" : "Reliability and Maintainability Symposium", "id" : "ITEM-2", "issued" : { "date-parts" : [ [ "1997" ] ] }, "page" : "57-63", "title" : "A Modular Approach for Analyzing Static and Dynamic Fault Trees", "type" : "paper-conference" }, "uris" : [ "http://www.mendeley.com/documents/?uuid=01cd1acf-e2d0-4aa2-8b25-67d01436d6dc" ] } ], "mendeley" : { "formattedCitation" : "(Dugan, Bavuso, &amp; Boyd, 1992; Gulati &amp; Dugan, 1997)", "manualFormatting" : "(Dugan, Bavuso and Boyd, 1992; Gulati and Dugan, 1997)", "plainTextFormattedCitation" : "(Dugan, Bavuso, &amp; Boyd, 1992; Gulati &amp; Dugan, 1997)", "previouslyFormattedCitation" : "(Dugan, Bavuso, &amp; Boyd, 1992; Gulati &amp; Dugan, 1997)" }, "properties" : { "noteIndex" : 0 }, "schema" : "https://github.com/citation-style-language/schema/raw/master/csl-citation.json" }</w:instrText>
      </w:r>
      <w:r w:rsidR="002D4D82" w:rsidRPr="00240534">
        <w:rPr>
          <w:rFonts w:ascii="Calibri" w:hAnsi="Calibri" w:cs="Calibri"/>
        </w:rPr>
        <w:fldChar w:fldCharType="separate"/>
      </w:r>
      <w:r w:rsidR="002F693C" w:rsidRPr="00240534">
        <w:rPr>
          <w:rFonts w:ascii="Calibri" w:hAnsi="Calibri" w:cs="Calibri"/>
          <w:noProof/>
        </w:rPr>
        <w:t>(Dugan, Bavuso</w:t>
      </w:r>
      <w:r w:rsidR="00B068CE" w:rsidRPr="00240534">
        <w:rPr>
          <w:rFonts w:ascii="Calibri" w:hAnsi="Calibri" w:cs="Calibri"/>
          <w:noProof/>
        </w:rPr>
        <w:t xml:space="preserve"> </w:t>
      </w:r>
      <w:r w:rsidR="00D23C52" w:rsidRPr="00240534">
        <w:rPr>
          <w:rFonts w:ascii="Calibri" w:hAnsi="Calibri" w:cs="Calibri"/>
          <w:noProof/>
        </w:rPr>
        <w:t>and</w:t>
      </w:r>
      <w:r w:rsidR="00B068CE" w:rsidRPr="00240534">
        <w:rPr>
          <w:rFonts w:ascii="Calibri" w:hAnsi="Calibri" w:cs="Calibri"/>
          <w:noProof/>
        </w:rPr>
        <w:t xml:space="preserve"> Boyd, 1992; Gulati </w:t>
      </w:r>
      <w:r w:rsidR="00D23C52" w:rsidRPr="00240534">
        <w:rPr>
          <w:rFonts w:ascii="Calibri" w:hAnsi="Calibri" w:cs="Calibri"/>
          <w:noProof/>
        </w:rPr>
        <w:t>and</w:t>
      </w:r>
      <w:r w:rsidR="00B068CE" w:rsidRPr="00240534">
        <w:rPr>
          <w:rFonts w:ascii="Calibri" w:hAnsi="Calibri" w:cs="Calibri"/>
          <w:noProof/>
        </w:rPr>
        <w:t xml:space="preserve"> Dugan, 1997)</w:t>
      </w:r>
      <w:r w:rsidR="002D4D82" w:rsidRPr="00240534">
        <w:rPr>
          <w:rFonts w:ascii="Calibri" w:hAnsi="Calibri" w:cs="Calibri"/>
        </w:rPr>
        <w:fldChar w:fldCharType="end"/>
      </w:r>
      <w:r w:rsidR="008A09AD" w:rsidRPr="00240534">
        <w:rPr>
          <w:rFonts w:ascii="Calibri" w:hAnsi="Calibri" w:cs="Calibri"/>
        </w:rPr>
        <w:t>. Many attempts have been made to address this problem.</w:t>
      </w:r>
      <w:r w:rsidR="00950656" w:rsidRPr="00240534">
        <w:rPr>
          <w:rFonts w:ascii="Calibri" w:hAnsi="Calibri" w:cs="Calibri"/>
        </w:rPr>
        <w:t xml:space="preserve"> </w:t>
      </w:r>
      <w:r w:rsidR="00687328" w:rsidRPr="00240534">
        <w:rPr>
          <w:rFonts w:ascii="Calibri" w:hAnsi="Calibri" w:cs="Calibri"/>
        </w:rPr>
        <w:t>A</w:t>
      </w:r>
      <w:r w:rsidR="003C62F9" w:rsidRPr="00240534">
        <w:rPr>
          <w:rFonts w:ascii="Calibri" w:hAnsi="Calibri" w:cs="Calibri"/>
        </w:rPr>
        <w:t xml:space="preserve"> n</w:t>
      </w:r>
      <w:r w:rsidR="00950656" w:rsidRPr="00240534">
        <w:rPr>
          <w:rFonts w:ascii="Calibri" w:hAnsi="Calibri" w:cs="Calibri"/>
        </w:rPr>
        <w:t xml:space="preserve">otable </w:t>
      </w:r>
      <w:r w:rsidR="00687328" w:rsidRPr="00240534">
        <w:rPr>
          <w:rFonts w:ascii="Calibri" w:hAnsi="Calibri" w:cs="Calibri"/>
        </w:rPr>
        <w:t>improvement</w:t>
      </w:r>
      <w:r w:rsidR="00950656" w:rsidRPr="00240534">
        <w:rPr>
          <w:rFonts w:ascii="Calibri" w:hAnsi="Calibri" w:cs="Calibri"/>
        </w:rPr>
        <w:t xml:space="preserve"> </w:t>
      </w:r>
      <w:r w:rsidR="003C62F9" w:rsidRPr="00240534">
        <w:rPr>
          <w:rFonts w:ascii="Calibri" w:hAnsi="Calibri" w:cs="Calibri"/>
        </w:rPr>
        <w:t xml:space="preserve">of FTA </w:t>
      </w:r>
      <w:r w:rsidR="00687328" w:rsidRPr="00240534">
        <w:rPr>
          <w:rFonts w:ascii="Calibri" w:hAnsi="Calibri" w:cs="Calibri"/>
        </w:rPr>
        <w:t>is</w:t>
      </w:r>
      <w:r w:rsidR="00950656" w:rsidRPr="00240534">
        <w:rPr>
          <w:rFonts w:ascii="Calibri" w:hAnsi="Calibri" w:cs="Calibri"/>
        </w:rPr>
        <w:t xml:space="preserve"> </w:t>
      </w:r>
      <w:r w:rsidR="003C62F9" w:rsidRPr="00240534">
        <w:rPr>
          <w:rFonts w:ascii="Calibri" w:hAnsi="Calibri" w:cs="Calibri"/>
        </w:rPr>
        <w:t>Dynamic Fault Tree (DFT) analysis</w:t>
      </w:r>
      <w:r w:rsidR="00950656" w:rsidRPr="00240534">
        <w:rPr>
          <w:rFonts w:ascii="Calibri" w:hAnsi="Calibri" w:cs="Calibri"/>
        </w:rPr>
        <w:t xml:space="preserve"> </w:t>
      </w:r>
      <w:r w:rsidR="002D4D82" w:rsidRPr="00240534">
        <w:rPr>
          <w:rFonts w:ascii="Calibri" w:hAnsi="Calibri" w:cs="Calibri"/>
        </w:rPr>
        <w:fldChar w:fldCharType="begin" w:fldLock="1"/>
      </w:r>
      <w:r w:rsidR="008C4053" w:rsidRPr="00240534">
        <w:rPr>
          <w:rFonts w:ascii="Calibri" w:hAnsi="Calibri" w:cs="Calibri"/>
        </w:rPr>
        <w:instrText>ADDIN CSL_CITATION { "citationItems" : [ { "id" : "ITEM-1", "itemData" : { "DOI" : "10.1109/24.159800", "ISSN" : "00189529", "author" : [ { "dropping-particle" : "", "family" : "Dugan", "given" : "J.B.", "non-dropping-particle" : "", "parse-names" : false, "suffix" : "" }, { "dropping-particle" : "", "family" : "Bavuso", "given" : "S.J.", "non-dropping-particle" : "", "parse-names" : false, "suffix" : "" }, { "dropping-particle" : "", "family" : "Boyd", "given" : "M.a.", "non-dropping-particle" : "", "parse-names" : false, "suffix" : "" } ], "container-title" : "IEEE Transactions on Reliability", "id" : "ITEM-1", "issue" : "3", "issued" : { "date-parts" : [ [ "1992" ] ] }, "page" : "363-377", "title" : "Dynamic Fault-Tree Models for Fault-Tolerant Computer Systems", "type" : "article-journal", "volume" : "41" }, "uris" : [ "http://www.mendeley.com/documents/?uuid=9bcf8a49-cedc-4ee2-a910-743af97bc8ec" ] } ], "mendeley" : { "formattedCitation" : "(Dugan et al., 1992)", "plainTextFormattedCitation" : "(Dugan et al., 1992)", "previouslyFormattedCitation" : "(Dugan et al., 1992)" }, "properties" : { "noteIndex" : 0 }, "schema" : "https://github.com/citation-style-language/schema/raw/master/csl-citation.json" }</w:instrText>
      </w:r>
      <w:r w:rsidR="002D4D82" w:rsidRPr="00240534">
        <w:rPr>
          <w:rFonts w:ascii="Calibri" w:hAnsi="Calibri" w:cs="Calibri"/>
        </w:rPr>
        <w:fldChar w:fldCharType="separate"/>
      </w:r>
      <w:r w:rsidR="008C4053" w:rsidRPr="00240534">
        <w:rPr>
          <w:rFonts w:ascii="Calibri" w:hAnsi="Calibri" w:cs="Calibri"/>
          <w:noProof/>
        </w:rPr>
        <w:t>(Dugan et al., 1992)</w:t>
      </w:r>
      <w:r w:rsidR="002D4D82" w:rsidRPr="00240534">
        <w:rPr>
          <w:rFonts w:ascii="Calibri" w:hAnsi="Calibri" w:cs="Calibri"/>
        </w:rPr>
        <w:fldChar w:fldCharType="end"/>
      </w:r>
      <w:r w:rsidR="003C62F9" w:rsidRPr="00240534">
        <w:rPr>
          <w:rFonts w:ascii="Calibri" w:hAnsi="Calibri" w:cs="Calibri"/>
        </w:rPr>
        <w:t xml:space="preserve"> </w:t>
      </w:r>
      <w:r w:rsidR="00687328" w:rsidRPr="00240534">
        <w:rPr>
          <w:rFonts w:ascii="Calibri" w:hAnsi="Calibri" w:cs="Calibri"/>
        </w:rPr>
        <w:t xml:space="preserve">that, proposes novel gates to capture sequential dependencies. However, DFTs are crafted mainly for probabilistic analysis. A more recent improvement </w:t>
      </w:r>
      <w:r w:rsidR="008C4053" w:rsidRPr="00240534">
        <w:rPr>
          <w:rFonts w:ascii="Calibri" w:hAnsi="Calibri" w:cs="Calibri"/>
        </w:rPr>
        <w:t xml:space="preserve">which </w:t>
      </w:r>
      <w:r w:rsidR="00985EC2" w:rsidRPr="00240534">
        <w:rPr>
          <w:rFonts w:ascii="Calibri" w:hAnsi="Calibri" w:cs="Calibri"/>
        </w:rPr>
        <w:t>is herein</w:t>
      </w:r>
      <w:r w:rsidR="008C4053" w:rsidRPr="00240534">
        <w:rPr>
          <w:rFonts w:ascii="Calibri" w:hAnsi="Calibri" w:cs="Calibri"/>
        </w:rPr>
        <w:t xml:space="preserve"> refer to as</w:t>
      </w:r>
      <w:r w:rsidR="003C62F9" w:rsidRPr="00240534">
        <w:rPr>
          <w:rFonts w:ascii="Calibri" w:hAnsi="Calibri" w:cs="Calibri"/>
        </w:rPr>
        <w:t xml:space="preserve"> Temporal Fault Tree (TFT) analysis </w:t>
      </w:r>
      <w:r w:rsidR="002D4D82" w:rsidRPr="00240534">
        <w:rPr>
          <w:rFonts w:ascii="Calibri" w:hAnsi="Calibri" w:cs="Calibri"/>
        </w:rPr>
        <w:fldChar w:fldCharType="begin" w:fldLock="1"/>
      </w:r>
      <w:r w:rsidR="008C4053" w:rsidRPr="00240534">
        <w:rPr>
          <w:rFonts w:ascii="Calibri" w:hAnsi="Calibri" w:cs="Calibri"/>
        </w:rPr>
        <w:instrText>ADDIN CSL_CITATION { "citationItems" : [ { "id" : "ITEM-1", "itemData" : { "author" : [ { "dropping-particle" : "", "family" : "Walker", "given" : "MD", "non-dropping-particle" : "", "parse-names" : false, "suffix" : "" } ], "id" : "ITEM-1", "issue" : "May", "issued" : { "date-parts" : [ [ "2009" ] ] }, "number-of-pages" : "299", "publisher" : "University of Hull", "title" : "Pandora: A Logic for the Qualitative Analysis of Temporal Fault Trees", "type" : "thesis" }, "uris" : [ "http://www.mendeley.com/documents/?uuid=870576ed-8a06-461e-a1bd-70fccdeb5487" ] } ], "mendeley" : { "formattedCitation" : "(Walker, 2009)", "plainTextFormattedCitation" : "(Walker, 2009)", "previouslyFormattedCitation" : "(Walker, 2009)" }, "properties" : { "noteIndex" : 0 }, "schema" : "https://github.com/citation-style-language/schema/raw/master/csl-citation.json" }</w:instrText>
      </w:r>
      <w:r w:rsidR="002D4D82" w:rsidRPr="00240534">
        <w:rPr>
          <w:rFonts w:ascii="Calibri" w:hAnsi="Calibri" w:cs="Calibri"/>
        </w:rPr>
        <w:fldChar w:fldCharType="separate"/>
      </w:r>
      <w:r w:rsidR="008C4053" w:rsidRPr="00240534">
        <w:rPr>
          <w:rFonts w:ascii="Calibri" w:hAnsi="Calibri" w:cs="Calibri"/>
          <w:noProof/>
        </w:rPr>
        <w:t>(Walker, 2009)</w:t>
      </w:r>
      <w:r w:rsidR="002D4D82" w:rsidRPr="00240534">
        <w:rPr>
          <w:rFonts w:ascii="Calibri" w:hAnsi="Calibri" w:cs="Calibri"/>
        </w:rPr>
        <w:fldChar w:fldCharType="end"/>
      </w:r>
      <w:r w:rsidR="00687328" w:rsidRPr="00240534">
        <w:rPr>
          <w:rFonts w:ascii="Calibri" w:hAnsi="Calibri" w:cs="Calibri"/>
        </w:rPr>
        <w:t xml:space="preserve"> improves FTA by prov</w:t>
      </w:r>
      <w:r w:rsidR="00985EC2" w:rsidRPr="00240534">
        <w:rPr>
          <w:rFonts w:ascii="Calibri" w:hAnsi="Calibri" w:cs="Calibri"/>
        </w:rPr>
        <w:t>iding new dynamic logical gates</w:t>
      </w:r>
      <w:r w:rsidR="00687328" w:rsidRPr="00240534">
        <w:rPr>
          <w:rFonts w:ascii="Calibri" w:hAnsi="Calibri" w:cs="Calibri"/>
        </w:rPr>
        <w:t xml:space="preserve"> </w:t>
      </w:r>
      <w:r w:rsidRPr="00240534">
        <w:rPr>
          <w:rFonts w:ascii="Calibri" w:hAnsi="Calibri" w:cs="Calibri"/>
        </w:rPr>
        <w:t>that enable</w:t>
      </w:r>
      <w:r w:rsidR="00687328" w:rsidRPr="00240534">
        <w:rPr>
          <w:rFonts w:ascii="Calibri" w:hAnsi="Calibri" w:cs="Calibri"/>
        </w:rPr>
        <w:t xml:space="preserve"> </w:t>
      </w:r>
      <w:r w:rsidR="007B4A02" w:rsidRPr="00240534">
        <w:rPr>
          <w:rFonts w:ascii="Calibri" w:hAnsi="Calibri" w:cs="Calibri"/>
        </w:rPr>
        <w:t xml:space="preserve">comprehensive logical </w:t>
      </w:r>
      <w:r w:rsidR="002D4D82" w:rsidRPr="00240534">
        <w:rPr>
          <w:rFonts w:ascii="Calibri" w:hAnsi="Calibri" w:cs="Calibri"/>
        </w:rPr>
        <w:fldChar w:fldCharType="begin" w:fldLock="1"/>
      </w:r>
      <w:r w:rsidR="008C4053" w:rsidRPr="00240534">
        <w:rPr>
          <w:rFonts w:ascii="Calibri" w:hAnsi="Calibri" w:cs="Calibri"/>
        </w:rPr>
        <w:instrText>ADDIN CSL_CITATION { "citationItems" : [ { "id" : "ITEM-1", "itemData" : { "author" : [ { "dropping-particle" : "", "family" : "Walker", "given" : "MD", "non-dropping-particle" : "", "parse-names" : false, "suffix" : "" } ], "id" : "ITEM-1", "issue" : "May", "issued" : { "date-parts" : [ [ "2009" ] ] }, "number-of-pages" : "299", "publisher" : "University of Hull", "title" : "Pandora: A Logic for the Qualitative Analysis of Temporal Fault Trees", "type" : "thesis" }, "uris" : [ "http://www.mendeley.com/documents/?uuid=870576ed-8a06-461e-a1bd-70fccdeb5487" ] } ], "mendeley" : { "formattedCitation" : "(Walker, 2009)", "plainTextFormattedCitation" : "(Walker, 2009)", "previouslyFormattedCitation" : "(Walker, 2009)" }, "properties" : { "noteIndex" : 0 }, "schema" : "https://github.com/citation-style-language/schema/raw/master/csl-citation.json" }</w:instrText>
      </w:r>
      <w:r w:rsidR="002D4D82" w:rsidRPr="00240534">
        <w:rPr>
          <w:rFonts w:ascii="Calibri" w:hAnsi="Calibri" w:cs="Calibri"/>
        </w:rPr>
        <w:fldChar w:fldCharType="separate"/>
      </w:r>
      <w:r w:rsidR="008C4053" w:rsidRPr="00240534">
        <w:rPr>
          <w:rFonts w:ascii="Calibri" w:hAnsi="Calibri" w:cs="Calibri"/>
          <w:noProof/>
        </w:rPr>
        <w:t>(Walker, 2009)</w:t>
      </w:r>
      <w:r w:rsidR="002D4D82" w:rsidRPr="00240534">
        <w:rPr>
          <w:rFonts w:ascii="Calibri" w:hAnsi="Calibri" w:cs="Calibri"/>
        </w:rPr>
        <w:fldChar w:fldCharType="end"/>
      </w:r>
      <w:r w:rsidR="007B4A02" w:rsidRPr="00240534">
        <w:rPr>
          <w:rFonts w:ascii="Calibri" w:hAnsi="Calibri" w:cs="Calibri"/>
        </w:rPr>
        <w:t xml:space="preserve"> and probabilistic analysis </w:t>
      </w:r>
      <w:r w:rsidR="002D4D82" w:rsidRPr="00240534">
        <w:rPr>
          <w:rFonts w:ascii="Calibri" w:hAnsi="Calibri" w:cs="Calibri"/>
        </w:rPr>
        <w:fldChar w:fldCharType="begin" w:fldLock="1"/>
      </w:r>
      <w:r w:rsidR="00985EC2" w:rsidRPr="00240534">
        <w:rPr>
          <w:rFonts w:ascii="Calibri" w:hAnsi="Calibri" w:cs="Calibri"/>
        </w:rPr>
        <w:instrText>ADDIN CSL_CITATION { "citationItems" : [ { "id" : "ITEM-1", "itemData" : { "author" : [ { "dropping-particle" : "", "family" : "Edifor", "given" : "Ernest E", "non-dropping-particle" : "", "parse-names" : false, "suffix" : "" } ], "id" : "ITEM-1", "issue" : "August", "issued" : { "date-parts" : [ [ "2014" ] ] }, "publisher" : "University of Hull", "title" : "Quantitative Analysis of Dynamic Safety-Critical Systems Using Temporal Fault Trees", "type" : "thesis" }, "uris" : [ "http://www.mendeley.com/documents/?uuid=96217306-eb3a-455f-8695-96a783cf4bb1" ] } ], "mendeley" : { "formattedCitation" : "(E. E. Edifor, 2014)", "manualFormatting" : "(Edifor, 2014)", "plainTextFormattedCitation" : "(E. E. Edifor, 2014)", "previouslyFormattedCitation" : "(E. E. Edifor, 2014)" }, "properties" : { "noteIndex" : 0 }, "schema" : "https://github.com/citation-style-language/schema/raw/master/csl-citation.json" }</w:instrText>
      </w:r>
      <w:r w:rsidR="002D4D82" w:rsidRPr="00240534">
        <w:rPr>
          <w:rFonts w:ascii="Calibri" w:hAnsi="Calibri" w:cs="Calibri"/>
        </w:rPr>
        <w:fldChar w:fldCharType="separate"/>
      </w:r>
      <w:r w:rsidR="00763308" w:rsidRPr="00240534">
        <w:rPr>
          <w:rFonts w:ascii="Calibri" w:hAnsi="Calibri" w:cs="Calibri"/>
          <w:noProof/>
        </w:rPr>
        <w:t>(Edifor, 2014)</w:t>
      </w:r>
      <w:r w:rsidR="002D4D82" w:rsidRPr="00240534">
        <w:rPr>
          <w:rFonts w:ascii="Calibri" w:hAnsi="Calibri" w:cs="Calibri"/>
        </w:rPr>
        <w:fldChar w:fldCharType="end"/>
      </w:r>
      <w:r w:rsidR="007B4A02" w:rsidRPr="00240534">
        <w:rPr>
          <w:rFonts w:ascii="Calibri" w:hAnsi="Calibri" w:cs="Calibri"/>
        </w:rPr>
        <w:t xml:space="preserve">. </w:t>
      </w:r>
      <w:r w:rsidRPr="00240534">
        <w:rPr>
          <w:rFonts w:ascii="Calibri" w:hAnsi="Calibri" w:cs="Calibri"/>
        </w:rPr>
        <w:t xml:space="preserve">The usefulness of </w:t>
      </w:r>
      <w:r w:rsidR="00122833" w:rsidRPr="00240534">
        <w:rPr>
          <w:rFonts w:ascii="Calibri" w:hAnsi="Calibri" w:cs="Calibri"/>
        </w:rPr>
        <w:t xml:space="preserve">this dual </w:t>
      </w:r>
      <w:r w:rsidRPr="00240534">
        <w:rPr>
          <w:rFonts w:ascii="Calibri" w:hAnsi="Calibri" w:cs="Calibri"/>
        </w:rPr>
        <w:t xml:space="preserve">analytical </w:t>
      </w:r>
      <w:r w:rsidR="00122833" w:rsidRPr="00240534">
        <w:rPr>
          <w:rFonts w:ascii="Calibri" w:hAnsi="Calibri" w:cs="Calibri"/>
        </w:rPr>
        <w:t xml:space="preserve">capability </w:t>
      </w:r>
      <w:r w:rsidRPr="00240534">
        <w:rPr>
          <w:rFonts w:ascii="Calibri" w:hAnsi="Calibri" w:cs="Calibri"/>
        </w:rPr>
        <w:t>for supply chain risk assessment is discussed</w:t>
      </w:r>
      <w:r w:rsidR="00122833" w:rsidRPr="00240534">
        <w:rPr>
          <w:rFonts w:ascii="Calibri" w:hAnsi="Calibri" w:cs="Calibri"/>
        </w:rPr>
        <w:t xml:space="preserve"> in this paper.</w:t>
      </w:r>
      <w:r w:rsidR="00A231A6" w:rsidRPr="00240534">
        <w:rPr>
          <w:rFonts w:ascii="Calibri" w:hAnsi="Calibri" w:cs="Calibri"/>
        </w:rPr>
        <w:t xml:space="preserve"> </w:t>
      </w:r>
    </w:p>
    <w:p w:rsidR="00702AFF" w:rsidRPr="00240534" w:rsidRDefault="00702AFF" w:rsidP="00240534">
      <w:pPr>
        <w:spacing w:line="240" w:lineRule="auto"/>
        <w:jc w:val="both"/>
        <w:rPr>
          <w:rFonts w:ascii="Calibri" w:hAnsi="Calibri" w:cs="Calibri"/>
        </w:rPr>
      </w:pPr>
    </w:p>
    <w:p w:rsidR="00D23E2D" w:rsidRPr="00240534" w:rsidRDefault="00240534" w:rsidP="00240534">
      <w:pPr>
        <w:pStyle w:val="Heading1"/>
        <w:spacing w:line="240" w:lineRule="auto"/>
        <w:jc w:val="both"/>
        <w:rPr>
          <w:rFonts w:ascii="Calibri" w:hAnsi="Calibri" w:cs="Calibri"/>
          <w:szCs w:val="22"/>
        </w:rPr>
      </w:pPr>
      <w:r>
        <w:rPr>
          <w:rFonts w:ascii="Calibri" w:hAnsi="Calibri" w:cs="Calibri"/>
          <w:szCs w:val="22"/>
        </w:rPr>
        <w:t>Problem de</w:t>
      </w:r>
      <w:r w:rsidR="00D23E2D" w:rsidRPr="00240534">
        <w:rPr>
          <w:rFonts w:ascii="Calibri" w:hAnsi="Calibri" w:cs="Calibri"/>
          <w:szCs w:val="22"/>
        </w:rPr>
        <w:t>scription</w:t>
      </w:r>
    </w:p>
    <w:p w:rsidR="001D38FC" w:rsidRPr="00240534" w:rsidRDefault="00F85B1A" w:rsidP="00240534">
      <w:pPr>
        <w:spacing w:line="240" w:lineRule="auto"/>
        <w:jc w:val="both"/>
        <w:rPr>
          <w:rFonts w:ascii="Calibri" w:hAnsi="Calibri" w:cs="Calibri"/>
        </w:rPr>
      </w:pPr>
      <w:proofErr w:type="spellStart"/>
      <w:r w:rsidRPr="00240534">
        <w:rPr>
          <w:rFonts w:ascii="Calibri" w:hAnsi="Calibri" w:cs="Calibri"/>
        </w:rPr>
        <w:t>Ziegenbein</w:t>
      </w:r>
      <w:proofErr w:type="spellEnd"/>
      <w:r w:rsidRPr="00240534">
        <w:rPr>
          <w:rFonts w:ascii="Calibri" w:hAnsi="Calibri" w:cs="Calibri"/>
        </w:rPr>
        <w:t xml:space="preserve"> and </w:t>
      </w:r>
      <w:proofErr w:type="spellStart"/>
      <w:r w:rsidRPr="00240534">
        <w:rPr>
          <w:rFonts w:ascii="Calibri" w:hAnsi="Calibri" w:cs="Calibri"/>
        </w:rPr>
        <w:t>Baumgart</w:t>
      </w:r>
      <w:proofErr w:type="spellEnd"/>
      <w:r w:rsidRPr="00240534">
        <w:rPr>
          <w:rFonts w:ascii="Calibri" w:hAnsi="Calibri" w:cs="Calibri"/>
        </w:rPr>
        <w:t xml:space="preserve"> (</w:t>
      </w:r>
      <w:r w:rsidR="00FD62AE" w:rsidRPr="00240534">
        <w:rPr>
          <w:rFonts w:ascii="Calibri" w:hAnsi="Calibri" w:cs="Calibri"/>
        </w:rPr>
        <w:t>2006</w:t>
      </w:r>
      <w:r w:rsidRPr="00240534">
        <w:rPr>
          <w:rFonts w:ascii="Calibri" w:hAnsi="Calibri" w:cs="Calibri"/>
        </w:rPr>
        <w:t>)</w:t>
      </w:r>
      <w:r w:rsidR="00FD62AE" w:rsidRPr="00240534">
        <w:rPr>
          <w:rFonts w:ascii="Calibri" w:hAnsi="Calibri" w:cs="Calibri"/>
        </w:rPr>
        <w:t xml:space="preserve"> provide a promising quantitative technique using FTA to assess the probability of occurrence of a supply chain disruption. In their discussion, they classify supply chain risk drivers according to the Supply Chain Operation Reference (SCOR) categories of plan, source, make, deliver and environment, which are then analysed using the traditional FTA method</w:t>
      </w:r>
      <w:r w:rsidR="006F5403" w:rsidRPr="00240534">
        <w:rPr>
          <w:rFonts w:ascii="Calibri" w:hAnsi="Calibri" w:cs="Calibri"/>
        </w:rPr>
        <w:t xml:space="preserve"> </w:t>
      </w:r>
      <w:r w:rsidR="000857FF" w:rsidRPr="00240534">
        <w:rPr>
          <w:rFonts w:ascii="Calibri" w:hAnsi="Calibri" w:cs="Calibri"/>
        </w:rPr>
        <w:t>(</w:t>
      </w:r>
      <w:r w:rsidR="006F5403" w:rsidRPr="00240534">
        <w:rPr>
          <w:rFonts w:ascii="Calibri" w:hAnsi="Calibri" w:cs="Calibri"/>
        </w:rPr>
        <w:t>Figure 1</w:t>
      </w:r>
      <w:r w:rsidR="000857FF" w:rsidRPr="00240534">
        <w:rPr>
          <w:rFonts w:ascii="Calibri" w:hAnsi="Calibri" w:cs="Calibri"/>
        </w:rPr>
        <w:t>).</w:t>
      </w:r>
      <w:r w:rsidR="006F5403" w:rsidRPr="00240534">
        <w:rPr>
          <w:rFonts w:ascii="Calibri" w:hAnsi="Calibri" w:cs="Calibri"/>
        </w:rPr>
        <w:t xml:space="preserve"> </w:t>
      </w:r>
    </w:p>
    <w:p w:rsidR="001D38FC" w:rsidRPr="00240534" w:rsidRDefault="001D38FC" w:rsidP="00240534">
      <w:pPr>
        <w:spacing w:line="240" w:lineRule="auto"/>
        <w:jc w:val="both"/>
        <w:rPr>
          <w:rFonts w:ascii="Calibri" w:hAnsi="Calibri" w:cs="Calibri"/>
        </w:rPr>
      </w:pPr>
    </w:p>
    <w:p w:rsidR="001D38FC" w:rsidRPr="00240534" w:rsidRDefault="00121378" w:rsidP="00240534">
      <w:pPr>
        <w:spacing w:line="240" w:lineRule="auto"/>
        <w:jc w:val="center"/>
        <w:rPr>
          <w:rFonts w:ascii="Calibri" w:hAnsi="Calibri" w:cs="Calibri"/>
        </w:rPr>
      </w:pPr>
      <w:r w:rsidRPr="00240534">
        <w:rPr>
          <w:rFonts w:ascii="Calibri" w:hAnsi="Calibri" w:cs="Calibri"/>
          <w:noProof/>
          <w:lang w:eastAsia="ko-KR"/>
        </w:rPr>
        <w:drawing>
          <wp:inline distT="0" distB="0" distL="0" distR="0">
            <wp:extent cx="1618984" cy="168486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618984" cy="1684867"/>
                    </a:xfrm>
                    <a:prstGeom prst="rect">
                      <a:avLst/>
                    </a:prstGeom>
                    <a:ln>
                      <a:noFill/>
                    </a:ln>
                    <a:extLst>
                      <a:ext uri="{53640926-AAD7-44D8-BBD7-CCE9431645EC}">
                        <a14:shadowObscured xmlns:a14="http://schemas.microsoft.com/office/drawing/2010/main"/>
                      </a:ext>
                    </a:extLst>
                  </pic:spPr>
                </pic:pic>
              </a:graphicData>
            </a:graphic>
          </wp:inline>
        </w:drawing>
      </w:r>
    </w:p>
    <w:p w:rsidR="001D38FC" w:rsidRPr="00240534" w:rsidRDefault="001D38FC" w:rsidP="00240534">
      <w:pPr>
        <w:spacing w:line="240" w:lineRule="auto"/>
        <w:jc w:val="center"/>
        <w:rPr>
          <w:rFonts w:ascii="Calibri" w:hAnsi="Calibri" w:cs="Calibri"/>
        </w:rPr>
      </w:pPr>
    </w:p>
    <w:p w:rsidR="001D38FC" w:rsidRPr="00240534" w:rsidRDefault="001D38FC" w:rsidP="00240534">
      <w:pPr>
        <w:spacing w:line="240" w:lineRule="auto"/>
        <w:jc w:val="center"/>
        <w:rPr>
          <w:rFonts w:ascii="Calibri" w:hAnsi="Calibri" w:cs="Calibri"/>
        </w:rPr>
      </w:pPr>
      <w:r w:rsidRPr="00240534">
        <w:rPr>
          <w:rFonts w:ascii="Calibri" w:hAnsi="Calibri" w:cs="Calibri"/>
        </w:rPr>
        <w:t xml:space="preserve">Figure 1: </w:t>
      </w:r>
      <w:r w:rsidR="0095635D" w:rsidRPr="00240534">
        <w:rPr>
          <w:rFonts w:ascii="Calibri" w:hAnsi="Calibri" w:cs="Calibri"/>
        </w:rPr>
        <w:t>F</w:t>
      </w:r>
      <w:r w:rsidR="004639D9" w:rsidRPr="00240534">
        <w:rPr>
          <w:rFonts w:ascii="Calibri" w:hAnsi="Calibri" w:cs="Calibri"/>
        </w:rPr>
        <w:t xml:space="preserve">ault tree adapted from </w:t>
      </w:r>
      <w:r w:rsidR="002D4D82" w:rsidRPr="00240534">
        <w:rPr>
          <w:rFonts w:ascii="Calibri" w:hAnsi="Calibri" w:cs="Calibri"/>
        </w:rPr>
        <w:fldChar w:fldCharType="begin" w:fldLock="1"/>
      </w:r>
      <w:r w:rsidR="00E1122C" w:rsidRPr="00240534">
        <w:rPr>
          <w:rFonts w:ascii="Calibri" w:hAnsi="Calibri" w:cs="Calibri"/>
        </w:rPr>
        <w:instrText>ADDIN CSL_CITATION { "citationItems" : [ { "id" : "ITEM-1", "itemData" : { "URL" : "http://www.fucam.ac.be/redirect.php3?id=46721", "abstract" : "Since several industrial companies face disruptions in their supply chains that cause high financial losses as a consequence, practitioners and researchers start to look at the risk in the supply chain. It is of importance for the risk management being informed about the magnitude of risk the company or rather the supply chain is subject to. Systematic approaches to quantitatively assess supply chain risks are still missing in practice and science. Therefore, this article introduces a quantitative approach for measuring the probability of occurrence and the financial impact of disruptions in the supply chain. First experiences of the application of the approach are illustrated in an industrial case study.", "accessed" : { "date-parts" : [ [ "2016", "5", "12" ] ] }, "author" : [ { "dropping-particle" : "", "family" : "Ziegenbein", "given" : "Arne", "non-dropping-particle" : "", "parse-names" : false, "suffix" : "" }, { "dropping-particle" : "", "family" : "Baumgart", "given" : "Jan", "non-dropping-particle" : "", "parse-names" : false, "suffix" : "" } ], "container-title" : "International Conference on Information Systems, Logistics and Supply Chain, Lyon", "id" : "ITEM-1", "issued" : { "date-parts" : [ [ "2006" ] ] }, "title" : "Supply Chain Risk Assessment \u2013 a Quantitative Approach", "type" : "webpage" }, "uris" : [ "http://www.mendeley.com/documents/?uuid=23c05862-2292-3c1b-84aa-a014f28955f6" ] } ], "mendeley" : { "formattedCitation" : "(Ziegenbein &amp; Baumgart, 2006)", "manualFormatting" : "Ziegenbein &amp; Baumgart (2006)", "plainTextFormattedCitation" : "(Ziegenbein &amp; Baumgart, 2006)", "previouslyFormattedCitation" : "(Ziegenbein &amp; Baumgart, 2006)" }, "properties" : { "noteIndex" : 0 }, "schema" : "https://github.com/citation-style-language/schema/raw/master/csl-citation.json" }</w:instrText>
      </w:r>
      <w:r w:rsidR="002D4D82" w:rsidRPr="00240534">
        <w:rPr>
          <w:rFonts w:ascii="Calibri" w:hAnsi="Calibri" w:cs="Calibri"/>
        </w:rPr>
        <w:fldChar w:fldCharType="separate"/>
      </w:r>
      <w:r w:rsidR="00C752B0" w:rsidRPr="00240534">
        <w:rPr>
          <w:rFonts w:ascii="Calibri" w:hAnsi="Calibri" w:cs="Calibri"/>
          <w:noProof/>
        </w:rPr>
        <w:t xml:space="preserve">Ziegenbein </w:t>
      </w:r>
      <w:r w:rsidR="00D23C52" w:rsidRPr="00240534">
        <w:rPr>
          <w:rFonts w:ascii="Calibri" w:hAnsi="Calibri" w:cs="Calibri"/>
          <w:noProof/>
        </w:rPr>
        <w:t>and</w:t>
      </w:r>
      <w:r w:rsidR="00C752B0" w:rsidRPr="00240534">
        <w:rPr>
          <w:rFonts w:ascii="Calibri" w:hAnsi="Calibri" w:cs="Calibri"/>
          <w:noProof/>
        </w:rPr>
        <w:t xml:space="preserve"> Baumgart (2006)</w:t>
      </w:r>
      <w:r w:rsidR="002D4D82" w:rsidRPr="00240534">
        <w:rPr>
          <w:rFonts w:ascii="Calibri" w:hAnsi="Calibri" w:cs="Calibri"/>
        </w:rPr>
        <w:fldChar w:fldCharType="end"/>
      </w:r>
    </w:p>
    <w:p w:rsidR="0063101D" w:rsidRPr="00240534" w:rsidRDefault="0063101D" w:rsidP="00240534">
      <w:pPr>
        <w:spacing w:line="240" w:lineRule="auto"/>
        <w:jc w:val="both"/>
        <w:rPr>
          <w:rFonts w:ascii="Calibri" w:hAnsi="Calibri" w:cs="Calibri"/>
        </w:rPr>
      </w:pPr>
    </w:p>
    <w:p w:rsidR="00D23E2D" w:rsidRPr="00240534" w:rsidRDefault="006F5403" w:rsidP="00240534">
      <w:pPr>
        <w:spacing w:line="240" w:lineRule="auto"/>
        <w:jc w:val="both"/>
        <w:rPr>
          <w:rFonts w:ascii="Calibri" w:hAnsi="Calibri" w:cs="Calibri"/>
        </w:rPr>
      </w:pPr>
      <w:r w:rsidRPr="00240534">
        <w:rPr>
          <w:rFonts w:ascii="Calibri" w:hAnsi="Calibri" w:cs="Calibri"/>
        </w:rPr>
        <w:t>From the diagram, i</w:t>
      </w:r>
      <w:r w:rsidR="00CC28C5" w:rsidRPr="00240534">
        <w:rPr>
          <w:rFonts w:ascii="Calibri" w:hAnsi="Calibri" w:cs="Calibri"/>
        </w:rPr>
        <w:t xml:space="preserve">t is evident that the Make </w:t>
      </w:r>
      <w:r w:rsidR="00B66B4B" w:rsidRPr="00240534">
        <w:rPr>
          <w:rFonts w:ascii="Calibri" w:hAnsi="Calibri" w:cs="Calibri"/>
        </w:rPr>
        <w:t>category</w:t>
      </w:r>
      <w:r w:rsidR="00CC28C5" w:rsidRPr="00240534">
        <w:rPr>
          <w:rFonts w:ascii="Calibri" w:hAnsi="Calibri" w:cs="Calibri"/>
        </w:rPr>
        <w:t xml:space="preserve"> fails </w:t>
      </w:r>
      <w:r w:rsidR="00B66B4B" w:rsidRPr="00240534">
        <w:rPr>
          <w:rFonts w:ascii="Calibri" w:hAnsi="Calibri" w:cs="Calibri"/>
        </w:rPr>
        <w:t xml:space="preserve">when both </w:t>
      </w:r>
      <w:r w:rsidR="00CC28C5" w:rsidRPr="00240534">
        <w:rPr>
          <w:rFonts w:ascii="Calibri" w:hAnsi="Calibri" w:cs="Calibri"/>
        </w:rPr>
        <w:t xml:space="preserve">Machine 1 and Machine 2 fail or when Machine 3 </w:t>
      </w:r>
      <w:r w:rsidR="00B66B4B" w:rsidRPr="00240534">
        <w:rPr>
          <w:rFonts w:ascii="Calibri" w:hAnsi="Calibri" w:cs="Calibri"/>
        </w:rPr>
        <w:t xml:space="preserve">alone </w:t>
      </w:r>
      <w:r w:rsidR="00CC28C5" w:rsidRPr="00240534">
        <w:rPr>
          <w:rFonts w:ascii="Calibri" w:hAnsi="Calibri" w:cs="Calibri"/>
        </w:rPr>
        <w:t xml:space="preserve">fails. In the case where both Machine 1 and Machine 2 </w:t>
      </w:r>
      <w:r w:rsidR="002F4E3D" w:rsidRPr="00240534">
        <w:rPr>
          <w:rFonts w:ascii="Calibri" w:hAnsi="Calibri" w:cs="Calibri"/>
        </w:rPr>
        <w:t xml:space="preserve">would </w:t>
      </w:r>
      <w:r w:rsidR="00CC28C5" w:rsidRPr="00240534">
        <w:rPr>
          <w:rFonts w:ascii="Calibri" w:hAnsi="Calibri" w:cs="Calibri"/>
        </w:rPr>
        <w:t xml:space="preserve">need to fail </w:t>
      </w:r>
      <w:r w:rsidR="002F4E3D" w:rsidRPr="00240534">
        <w:rPr>
          <w:rFonts w:ascii="Calibri" w:hAnsi="Calibri" w:cs="Calibri"/>
        </w:rPr>
        <w:t xml:space="preserve">in order </w:t>
      </w:r>
      <w:r w:rsidR="00C943ED" w:rsidRPr="00240534">
        <w:rPr>
          <w:rFonts w:ascii="Calibri" w:hAnsi="Calibri" w:cs="Calibri"/>
        </w:rPr>
        <w:t>to trigger the failure of the Make category</w:t>
      </w:r>
      <w:r w:rsidR="00CC28C5" w:rsidRPr="00240534">
        <w:rPr>
          <w:rFonts w:ascii="Calibri" w:hAnsi="Calibri" w:cs="Calibri"/>
        </w:rPr>
        <w:t xml:space="preserve"> this assessment is logically accurate.</w:t>
      </w:r>
      <w:r w:rsidR="00DE6F3E" w:rsidRPr="00240534">
        <w:rPr>
          <w:rFonts w:ascii="Calibri" w:hAnsi="Calibri" w:cs="Calibri"/>
        </w:rPr>
        <w:t xml:space="preserve"> However, if Machine 1 is a primary device and Machine 2 is a </w:t>
      </w:r>
      <w:r w:rsidR="00207AE6" w:rsidRPr="00240534">
        <w:rPr>
          <w:rFonts w:ascii="Calibri" w:hAnsi="Calibri" w:cs="Calibri"/>
        </w:rPr>
        <w:t>controller that detects the failure of Machine 1 and activates a standby device</w:t>
      </w:r>
      <w:r w:rsidR="00DE6F3E" w:rsidRPr="00240534">
        <w:rPr>
          <w:rFonts w:ascii="Calibri" w:hAnsi="Calibri" w:cs="Calibri"/>
        </w:rPr>
        <w:t xml:space="preserve">, then the assessment that both Machines 1 and 2 </w:t>
      </w:r>
      <w:r w:rsidR="002F4E3D" w:rsidRPr="00240534">
        <w:rPr>
          <w:rFonts w:ascii="Calibri" w:hAnsi="Calibri" w:cs="Calibri"/>
        </w:rPr>
        <w:t xml:space="preserve">would </w:t>
      </w:r>
      <w:r w:rsidR="00DE6F3E" w:rsidRPr="00240534">
        <w:rPr>
          <w:rFonts w:ascii="Calibri" w:hAnsi="Calibri" w:cs="Calibri"/>
        </w:rPr>
        <w:t xml:space="preserve">need to fail </w:t>
      </w:r>
      <w:r w:rsidR="002F4E3D" w:rsidRPr="00240534">
        <w:rPr>
          <w:rFonts w:ascii="Calibri" w:hAnsi="Calibri" w:cs="Calibri"/>
        </w:rPr>
        <w:t xml:space="preserve">in order </w:t>
      </w:r>
      <w:r w:rsidR="00DE6F3E" w:rsidRPr="00240534">
        <w:rPr>
          <w:rFonts w:ascii="Calibri" w:hAnsi="Calibri" w:cs="Calibri"/>
        </w:rPr>
        <w:t xml:space="preserve">to trigger the failure of the Make category is </w:t>
      </w:r>
      <w:r w:rsidR="002F4E3D" w:rsidRPr="00240534">
        <w:rPr>
          <w:rFonts w:ascii="Calibri" w:hAnsi="Calibri" w:cs="Calibri"/>
        </w:rPr>
        <w:t>in</w:t>
      </w:r>
      <w:r w:rsidR="00DE6F3E" w:rsidRPr="00240534">
        <w:rPr>
          <w:rFonts w:ascii="Calibri" w:hAnsi="Calibri" w:cs="Calibri"/>
        </w:rPr>
        <w:t xml:space="preserve">accurate. </w:t>
      </w:r>
      <w:r w:rsidR="00236151" w:rsidRPr="00240534">
        <w:rPr>
          <w:rFonts w:ascii="Calibri" w:hAnsi="Calibri" w:cs="Calibri"/>
        </w:rPr>
        <w:t xml:space="preserve">This is because </w:t>
      </w:r>
      <w:r w:rsidR="005E644A" w:rsidRPr="00240534">
        <w:rPr>
          <w:rFonts w:ascii="Calibri" w:hAnsi="Calibri" w:cs="Calibri"/>
        </w:rPr>
        <w:t>the controller activate the standby machine immediately the primary machine fails</w:t>
      </w:r>
      <w:r w:rsidR="00236151" w:rsidRPr="00240534">
        <w:rPr>
          <w:rFonts w:ascii="Calibri" w:hAnsi="Calibri" w:cs="Calibri"/>
        </w:rPr>
        <w:t xml:space="preserve"> </w:t>
      </w:r>
      <w:r w:rsidR="005E644A" w:rsidRPr="00240534">
        <w:rPr>
          <w:rFonts w:ascii="Calibri" w:hAnsi="Calibri" w:cs="Calibri"/>
        </w:rPr>
        <w:t xml:space="preserve">so the Make category does not fail when the controller fails subsequently. However, </w:t>
      </w:r>
      <w:r w:rsidR="0048731E" w:rsidRPr="00240534">
        <w:rPr>
          <w:rFonts w:ascii="Calibri" w:hAnsi="Calibri" w:cs="Calibri"/>
        </w:rPr>
        <w:t xml:space="preserve">if the controller fails before the primary machine fails, the make category fails because when the primary machine fails, </w:t>
      </w:r>
      <w:proofErr w:type="gramStart"/>
      <w:r w:rsidR="0048731E" w:rsidRPr="00240534">
        <w:rPr>
          <w:rFonts w:ascii="Calibri" w:hAnsi="Calibri" w:cs="Calibri"/>
        </w:rPr>
        <w:t>the</w:t>
      </w:r>
      <w:proofErr w:type="gramEnd"/>
      <w:r w:rsidR="0048731E" w:rsidRPr="00240534">
        <w:rPr>
          <w:rFonts w:ascii="Calibri" w:hAnsi="Calibri" w:cs="Calibri"/>
        </w:rPr>
        <w:t xml:space="preserve"> controller has failed and is unable to activate the standby machine.</w:t>
      </w:r>
      <w:r w:rsidR="008C1B9C" w:rsidRPr="00240534">
        <w:rPr>
          <w:rFonts w:ascii="Calibri" w:hAnsi="Calibri" w:cs="Calibri"/>
        </w:rPr>
        <w:t xml:space="preserve"> This </w:t>
      </w:r>
      <w:r w:rsidR="005E1565" w:rsidRPr="00240534">
        <w:rPr>
          <w:rFonts w:ascii="Calibri" w:hAnsi="Calibri" w:cs="Calibri"/>
        </w:rPr>
        <w:t>sort</w:t>
      </w:r>
      <w:r w:rsidR="008C1B9C" w:rsidRPr="00240534">
        <w:rPr>
          <w:rFonts w:ascii="Calibri" w:hAnsi="Calibri" w:cs="Calibri"/>
        </w:rPr>
        <w:t xml:space="preserve"> of machine configuration is </w:t>
      </w:r>
      <w:r w:rsidR="005E1565" w:rsidRPr="00240534">
        <w:rPr>
          <w:rFonts w:ascii="Calibri" w:hAnsi="Calibri" w:cs="Calibri"/>
        </w:rPr>
        <w:t>not un</w:t>
      </w:r>
      <w:r w:rsidR="008C1B9C" w:rsidRPr="00240534">
        <w:rPr>
          <w:rFonts w:ascii="Calibri" w:hAnsi="Calibri" w:cs="Calibri"/>
        </w:rPr>
        <w:t>common in real-world systems.</w:t>
      </w:r>
      <w:r w:rsidR="0039393E" w:rsidRPr="00240534">
        <w:rPr>
          <w:rFonts w:ascii="Calibri" w:hAnsi="Calibri" w:cs="Calibri"/>
        </w:rPr>
        <w:t xml:space="preserve"> </w:t>
      </w:r>
      <w:r w:rsidR="00622D7C" w:rsidRPr="00240534">
        <w:rPr>
          <w:rFonts w:ascii="Calibri" w:hAnsi="Calibri" w:cs="Calibri"/>
        </w:rPr>
        <w:t xml:space="preserve">The aim of this paper is thus to analyse such real-world events more accurately. </w:t>
      </w:r>
      <w:r w:rsidR="0039393E" w:rsidRPr="00240534">
        <w:rPr>
          <w:rFonts w:ascii="Calibri" w:hAnsi="Calibri" w:cs="Calibri"/>
        </w:rPr>
        <w:t xml:space="preserve">In this paper, </w:t>
      </w:r>
      <w:r w:rsidR="0039393E" w:rsidRPr="00240534">
        <w:rPr>
          <w:rFonts w:ascii="Calibri" w:hAnsi="Calibri" w:cs="Calibri"/>
        </w:rPr>
        <w:lastRenderedPageBreak/>
        <w:t xml:space="preserve">the assumption is made that all events are non-repairable; i.e. once an event has </w:t>
      </w:r>
      <w:r w:rsidR="009F15E6" w:rsidRPr="00240534">
        <w:rPr>
          <w:rFonts w:ascii="Calibri" w:hAnsi="Calibri" w:cs="Calibri"/>
        </w:rPr>
        <w:t>occurred</w:t>
      </w:r>
      <w:r w:rsidR="0039393E" w:rsidRPr="00240534">
        <w:rPr>
          <w:rFonts w:ascii="Calibri" w:hAnsi="Calibri" w:cs="Calibri"/>
        </w:rPr>
        <w:t xml:space="preserve">, it remains </w:t>
      </w:r>
      <w:r w:rsidR="009F15E6" w:rsidRPr="00240534">
        <w:rPr>
          <w:rFonts w:ascii="Calibri" w:hAnsi="Calibri" w:cs="Calibri"/>
        </w:rPr>
        <w:t>in the failed state</w:t>
      </w:r>
      <w:r w:rsidR="0039393E" w:rsidRPr="00240534">
        <w:rPr>
          <w:rFonts w:ascii="Calibri" w:hAnsi="Calibri" w:cs="Calibri"/>
        </w:rPr>
        <w:t>.</w:t>
      </w:r>
    </w:p>
    <w:p w:rsidR="00925CED" w:rsidRPr="00240534" w:rsidRDefault="00925CED" w:rsidP="00240534">
      <w:pPr>
        <w:spacing w:line="240" w:lineRule="auto"/>
        <w:jc w:val="both"/>
        <w:rPr>
          <w:rFonts w:ascii="Calibri" w:hAnsi="Calibri" w:cs="Calibri"/>
        </w:rPr>
      </w:pPr>
    </w:p>
    <w:p w:rsidR="00D23E2D" w:rsidRPr="00240534" w:rsidRDefault="00240534" w:rsidP="00240534">
      <w:pPr>
        <w:pStyle w:val="Heading1"/>
        <w:spacing w:line="240" w:lineRule="auto"/>
        <w:jc w:val="both"/>
        <w:rPr>
          <w:rFonts w:ascii="Calibri" w:hAnsi="Calibri" w:cs="Calibri"/>
          <w:szCs w:val="22"/>
        </w:rPr>
      </w:pPr>
      <w:r>
        <w:rPr>
          <w:rFonts w:ascii="Calibri" w:hAnsi="Calibri" w:cs="Calibri"/>
          <w:szCs w:val="22"/>
        </w:rPr>
        <w:t>Assessment of supply chain r</w:t>
      </w:r>
      <w:r w:rsidR="00C15B8E" w:rsidRPr="00240534">
        <w:rPr>
          <w:rFonts w:ascii="Calibri" w:hAnsi="Calibri" w:cs="Calibri"/>
          <w:szCs w:val="22"/>
        </w:rPr>
        <w:t>isk</w:t>
      </w:r>
    </w:p>
    <w:p w:rsidR="00173F8E" w:rsidRPr="00240534" w:rsidRDefault="005D030A" w:rsidP="00240534">
      <w:pPr>
        <w:spacing w:line="240" w:lineRule="auto"/>
        <w:jc w:val="both"/>
        <w:rPr>
          <w:rFonts w:ascii="Calibri" w:hAnsi="Calibri" w:cs="Calibri"/>
        </w:rPr>
      </w:pPr>
      <w:r w:rsidRPr="00240534">
        <w:rPr>
          <w:rFonts w:ascii="Calibri" w:hAnsi="Calibri" w:cs="Calibri"/>
        </w:rPr>
        <w:t xml:space="preserve">In addition to the traditional Boolean gates AND </w:t>
      </w:r>
      <w:proofErr w:type="spellStart"/>
      <w:r w:rsidRPr="00240534">
        <w:rPr>
          <w:rFonts w:ascii="Calibri" w:hAnsi="Calibri" w:cs="Calibri"/>
        </w:rPr>
        <w:t>and</w:t>
      </w:r>
      <w:proofErr w:type="spellEnd"/>
      <w:r w:rsidRPr="00240534">
        <w:rPr>
          <w:rFonts w:ascii="Calibri" w:hAnsi="Calibri" w:cs="Calibri"/>
        </w:rPr>
        <w:t xml:space="preserve"> OR, </w:t>
      </w:r>
      <w:r w:rsidR="00173F8E" w:rsidRPr="00240534">
        <w:rPr>
          <w:rFonts w:ascii="Calibri" w:hAnsi="Calibri" w:cs="Calibri"/>
        </w:rPr>
        <w:t xml:space="preserve">TFT </w:t>
      </w:r>
      <w:r w:rsidRPr="00240534">
        <w:rPr>
          <w:rFonts w:ascii="Calibri" w:hAnsi="Calibri" w:cs="Calibri"/>
        </w:rPr>
        <w:t xml:space="preserve">uses three dynamic gates </w:t>
      </w:r>
      <w:r w:rsidR="00F13542" w:rsidRPr="00240534">
        <w:rPr>
          <w:rFonts w:ascii="Calibri" w:hAnsi="Calibri" w:cs="Calibri"/>
        </w:rPr>
        <w:t xml:space="preserve">in its analysis. These are </w:t>
      </w:r>
      <w:r w:rsidRPr="00240534">
        <w:rPr>
          <w:rFonts w:ascii="Calibri" w:hAnsi="Calibri" w:cs="Calibri"/>
        </w:rPr>
        <w:t>Priorit</w:t>
      </w:r>
      <w:r w:rsidR="00173F8E" w:rsidRPr="00240534">
        <w:rPr>
          <w:rFonts w:ascii="Calibri" w:hAnsi="Calibri" w:cs="Calibri"/>
        </w:rPr>
        <w:t xml:space="preserve">y-AND (PAND), Priority-OR (POR), </w:t>
      </w:r>
      <w:r w:rsidRPr="00240534">
        <w:rPr>
          <w:rFonts w:ascii="Calibri" w:hAnsi="Calibri" w:cs="Calibri"/>
        </w:rPr>
        <w:t>Simultaneous-AND (SAND)</w:t>
      </w:r>
      <w:r w:rsidR="00173F8E" w:rsidRPr="00240534">
        <w:rPr>
          <w:rFonts w:ascii="Calibri" w:hAnsi="Calibri" w:cs="Calibri"/>
        </w:rPr>
        <w:t xml:space="preserve"> and sometimes, parameterised-SAND (</w:t>
      </w:r>
      <w:proofErr w:type="spellStart"/>
      <w:r w:rsidR="00F13542" w:rsidRPr="00240534">
        <w:rPr>
          <w:rFonts w:ascii="Calibri" w:hAnsi="Calibri" w:cs="Calibri"/>
        </w:rPr>
        <w:t>pSAND</w:t>
      </w:r>
      <w:proofErr w:type="spellEnd"/>
      <w:r w:rsidR="00173F8E" w:rsidRPr="00240534">
        <w:rPr>
          <w:rFonts w:ascii="Calibri" w:hAnsi="Calibri" w:cs="Calibri"/>
        </w:rPr>
        <w:t>)</w:t>
      </w:r>
      <w:r w:rsidR="00F13542" w:rsidRPr="00240534">
        <w:rPr>
          <w:rFonts w:ascii="Calibri" w:hAnsi="Calibri" w:cs="Calibri"/>
        </w:rPr>
        <w:t xml:space="preserve"> as seen in Figure </w:t>
      </w:r>
      <w:r w:rsidR="00553FF7" w:rsidRPr="00240534">
        <w:rPr>
          <w:rFonts w:ascii="Calibri" w:hAnsi="Calibri" w:cs="Calibri"/>
        </w:rPr>
        <w:t>2</w:t>
      </w:r>
      <w:r w:rsidRPr="00240534">
        <w:rPr>
          <w:rFonts w:ascii="Calibri" w:hAnsi="Calibri" w:cs="Calibri"/>
        </w:rPr>
        <w:t>.</w:t>
      </w:r>
      <w:r w:rsidR="00173F8E" w:rsidRPr="00240534">
        <w:rPr>
          <w:rFonts w:ascii="Calibri" w:hAnsi="Calibri" w:cs="Calibri"/>
        </w:rPr>
        <w:t xml:space="preserve"> </w:t>
      </w:r>
    </w:p>
    <w:p w:rsidR="00B93A49" w:rsidRPr="00240534" w:rsidRDefault="00B93A49" w:rsidP="00240534">
      <w:pPr>
        <w:spacing w:line="240" w:lineRule="auto"/>
        <w:jc w:val="both"/>
        <w:rPr>
          <w:rFonts w:ascii="Calibri" w:hAnsi="Calibri" w:cs="Calibri"/>
        </w:rPr>
      </w:pPr>
    </w:p>
    <w:p w:rsidR="00173F8E" w:rsidRPr="00240534" w:rsidRDefault="00173F8E" w:rsidP="00240534">
      <w:pPr>
        <w:spacing w:line="240" w:lineRule="auto"/>
        <w:jc w:val="center"/>
        <w:rPr>
          <w:rFonts w:ascii="Calibri" w:hAnsi="Calibri" w:cs="Calibri"/>
        </w:rPr>
      </w:pPr>
      <w:r w:rsidRPr="00240534">
        <w:rPr>
          <w:rFonts w:ascii="Calibri" w:hAnsi="Calibri" w:cs="Calibri"/>
          <w:noProof/>
          <w:lang w:eastAsia="ko-KR"/>
        </w:rPr>
        <w:drawing>
          <wp:inline distT="0" distB="0" distL="0" distR="0">
            <wp:extent cx="5494700" cy="10677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5576809" cy="1083739"/>
                    </a:xfrm>
                    <a:prstGeom prst="rect">
                      <a:avLst/>
                    </a:prstGeom>
                    <a:ln>
                      <a:noFill/>
                    </a:ln>
                    <a:extLst>
                      <a:ext uri="{53640926-AAD7-44D8-BBD7-CCE9431645EC}">
                        <a14:shadowObscured xmlns:a14="http://schemas.microsoft.com/office/drawing/2010/main"/>
                      </a:ext>
                    </a:extLst>
                  </pic:spPr>
                </pic:pic>
              </a:graphicData>
            </a:graphic>
          </wp:inline>
        </w:drawing>
      </w:r>
    </w:p>
    <w:p w:rsidR="00B93A49" w:rsidRPr="00240534" w:rsidRDefault="00B93A49" w:rsidP="00240534">
      <w:pPr>
        <w:spacing w:line="240" w:lineRule="auto"/>
        <w:jc w:val="both"/>
        <w:rPr>
          <w:rFonts w:ascii="Calibri" w:hAnsi="Calibri" w:cs="Calibri"/>
        </w:rPr>
      </w:pPr>
    </w:p>
    <w:p w:rsidR="00B93A49" w:rsidRPr="00240534" w:rsidRDefault="00B93A49" w:rsidP="00240534">
      <w:pPr>
        <w:spacing w:line="240" w:lineRule="auto"/>
        <w:jc w:val="center"/>
        <w:rPr>
          <w:rFonts w:ascii="Calibri" w:hAnsi="Calibri" w:cs="Calibri"/>
        </w:rPr>
      </w:pPr>
      <w:r w:rsidRPr="00240534">
        <w:rPr>
          <w:rFonts w:ascii="Calibri" w:hAnsi="Calibri" w:cs="Calibri"/>
        </w:rPr>
        <w:t xml:space="preserve">Figure </w:t>
      </w:r>
      <w:r w:rsidR="00553FF7" w:rsidRPr="00240534">
        <w:rPr>
          <w:rFonts w:ascii="Calibri" w:hAnsi="Calibri" w:cs="Calibri"/>
        </w:rPr>
        <w:t>2</w:t>
      </w:r>
      <w:r w:rsidRPr="00240534">
        <w:rPr>
          <w:rFonts w:ascii="Calibri" w:hAnsi="Calibri" w:cs="Calibri"/>
        </w:rPr>
        <w:t xml:space="preserve">: Logical gates (AND, OR, PAND, POR, SAND, </w:t>
      </w:r>
      <w:proofErr w:type="spellStart"/>
      <w:r w:rsidRPr="00240534">
        <w:rPr>
          <w:rFonts w:ascii="Calibri" w:hAnsi="Calibri" w:cs="Calibri"/>
        </w:rPr>
        <w:t>pSAND</w:t>
      </w:r>
      <w:proofErr w:type="spellEnd"/>
      <w:r w:rsidRPr="00240534">
        <w:rPr>
          <w:rFonts w:ascii="Calibri" w:hAnsi="Calibri" w:cs="Calibri"/>
        </w:rPr>
        <w:t>)</w:t>
      </w:r>
    </w:p>
    <w:p w:rsidR="00B93A49" w:rsidRPr="00240534" w:rsidRDefault="00B93A49" w:rsidP="00240534">
      <w:pPr>
        <w:spacing w:line="240" w:lineRule="auto"/>
        <w:jc w:val="both"/>
        <w:rPr>
          <w:rFonts w:ascii="Calibri" w:hAnsi="Calibri" w:cs="Calibri"/>
        </w:rPr>
      </w:pPr>
    </w:p>
    <w:p w:rsidR="00D26131" w:rsidRPr="00240534" w:rsidRDefault="00553FF7" w:rsidP="00240534">
      <w:pPr>
        <w:spacing w:line="240" w:lineRule="auto"/>
        <w:jc w:val="both"/>
        <w:rPr>
          <w:rFonts w:ascii="Calibri" w:hAnsi="Calibri" w:cs="Calibri"/>
        </w:rPr>
      </w:pPr>
      <w:r w:rsidRPr="00240534">
        <w:rPr>
          <w:rFonts w:ascii="Calibri" w:hAnsi="Calibri" w:cs="Calibri"/>
        </w:rPr>
        <w:t>Figure 2</w:t>
      </w:r>
      <w:r w:rsidR="00F02D9B" w:rsidRPr="00240534">
        <w:rPr>
          <w:rFonts w:ascii="Calibri" w:hAnsi="Calibri" w:cs="Calibri"/>
        </w:rPr>
        <w:t xml:space="preserve">a represents an AND gate; the output event </w:t>
      </w:r>
      <w:r w:rsidR="00F02D9B" w:rsidRPr="00240534">
        <w:rPr>
          <w:rFonts w:ascii="Calibri" w:hAnsi="Calibri" w:cs="Calibri"/>
          <w:i/>
        </w:rPr>
        <w:t>Q</w:t>
      </w:r>
      <w:r w:rsidR="00F02D9B" w:rsidRPr="00240534">
        <w:rPr>
          <w:rFonts w:ascii="Calibri" w:hAnsi="Calibri" w:cs="Calibri"/>
        </w:rPr>
        <w:t xml:space="preserve"> is triggered when all input events </w:t>
      </w:r>
      <w:r w:rsidR="00F02D9B" w:rsidRPr="00240534">
        <w:rPr>
          <w:rFonts w:ascii="Calibri" w:hAnsi="Calibri" w:cs="Calibri"/>
          <w:i/>
        </w:rPr>
        <w:t>A, B</w:t>
      </w:r>
      <w:r w:rsidR="00F02D9B" w:rsidRPr="00240534">
        <w:rPr>
          <w:rFonts w:ascii="Calibri" w:hAnsi="Calibri" w:cs="Calibri"/>
        </w:rPr>
        <w:t xml:space="preserve"> occur. </w:t>
      </w:r>
      <w:r w:rsidR="00CF6A2B" w:rsidRPr="00240534">
        <w:rPr>
          <w:rFonts w:ascii="Calibri" w:hAnsi="Calibri" w:cs="Calibri"/>
        </w:rPr>
        <w:t xml:space="preserve">For example, if a business has two production plants, </w:t>
      </w:r>
      <w:r w:rsidR="00CF6A2B" w:rsidRPr="00240534">
        <w:rPr>
          <w:rFonts w:ascii="Calibri" w:hAnsi="Calibri" w:cs="Calibri"/>
          <w:i/>
        </w:rPr>
        <w:t>P1</w:t>
      </w:r>
      <w:r w:rsidR="00CF6A2B" w:rsidRPr="00240534">
        <w:rPr>
          <w:rFonts w:ascii="Calibri" w:hAnsi="Calibri" w:cs="Calibri"/>
        </w:rPr>
        <w:t xml:space="preserve"> and </w:t>
      </w:r>
      <w:r w:rsidR="00CF6A2B" w:rsidRPr="00240534">
        <w:rPr>
          <w:rFonts w:ascii="Calibri" w:hAnsi="Calibri" w:cs="Calibri"/>
          <w:i/>
        </w:rPr>
        <w:t>P2</w:t>
      </w:r>
      <w:r w:rsidR="00CF6A2B" w:rsidRPr="00240534">
        <w:rPr>
          <w:rFonts w:ascii="Calibri" w:hAnsi="Calibri" w:cs="Calibri"/>
        </w:rPr>
        <w:t xml:space="preserve">, from which all their products are made, the failure of </w:t>
      </w:r>
      <w:r w:rsidR="00CF6A2B" w:rsidRPr="00240534">
        <w:rPr>
          <w:rFonts w:ascii="Calibri" w:hAnsi="Calibri" w:cs="Calibri"/>
          <w:i/>
        </w:rPr>
        <w:t>P1</w:t>
      </w:r>
      <w:r w:rsidR="00CF6A2B" w:rsidRPr="00240534">
        <w:rPr>
          <w:rFonts w:ascii="Calibri" w:hAnsi="Calibri" w:cs="Calibri"/>
        </w:rPr>
        <w:t xml:space="preserve"> AND </w:t>
      </w:r>
      <w:r w:rsidR="00CF6A2B" w:rsidRPr="00240534">
        <w:rPr>
          <w:rFonts w:ascii="Calibri" w:hAnsi="Calibri" w:cs="Calibri"/>
          <w:i/>
        </w:rPr>
        <w:t>P2</w:t>
      </w:r>
      <w:r w:rsidR="00CF6A2B" w:rsidRPr="00240534">
        <w:rPr>
          <w:rFonts w:ascii="Calibri" w:hAnsi="Calibri" w:cs="Calibri"/>
        </w:rPr>
        <w:t xml:space="preserve"> will lead to the business failing to fulfil its targeted production level. </w:t>
      </w:r>
      <w:r w:rsidRPr="00240534">
        <w:rPr>
          <w:rFonts w:ascii="Calibri" w:hAnsi="Calibri" w:cs="Calibri"/>
        </w:rPr>
        <w:t>Figure 2</w:t>
      </w:r>
      <w:r w:rsidR="00F02D9B" w:rsidRPr="00240534">
        <w:rPr>
          <w:rFonts w:ascii="Calibri" w:hAnsi="Calibri" w:cs="Calibri"/>
        </w:rPr>
        <w:t xml:space="preserve">b is the OR gate; the output event </w:t>
      </w:r>
      <w:r w:rsidR="003F71E5" w:rsidRPr="00240534">
        <w:rPr>
          <w:rFonts w:ascii="Calibri" w:hAnsi="Calibri" w:cs="Calibri"/>
          <w:i/>
        </w:rPr>
        <w:t>Q</w:t>
      </w:r>
      <w:r w:rsidR="003F71E5" w:rsidRPr="00240534">
        <w:rPr>
          <w:rFonts w:ascii="Calibri" w:hAnsi="Calibri" w:cs="Calibri"/>
        </w:rPr>
        <w:t xml:space="preserve"> </w:t>
      </w:r>
      <w:r w:rsidR="00F02D9B" w:rsidRPr="00240534">
        <w:rPr>
          <w:rFonts w:ascii="Calibri" w:hAnsi="Calibri" w:cs="Calibri"/>
        </w:rPr>
        <w:t xml:space="preserve">is triggered when at least one of the input events </w:t>
      </w:r>
      <w:r w:rsidR="00F02D9B" w:rsidRPr="00240534">
        <w:rPr>
          <w:rFonts w:ascii="Calibri" w:hAnsi="Calibri" w:cs="Calibri"/>
          <w:i/>
        </w:rPr>
        <w:t>A, B</w:t>
      </w:r>
      <w:r w:rsidR="00F02D9B" w:rsidRPr="00240534">
        <w:rPr>
          <w:rFonts w:ascii="Calibri" w:hAnsi="Calibri" w:cs="Calibri"/>
        </w:rPr>
        <w:t xml:space="preserve"> have occurred. </w:t>
      </w:r>
      <w:r w:rsidR="00452598" w:rsidRPr="00240534">
        <w:rPr>
          <w:rFonts w:ascii="Calibri" w:hAnsi="Calibri" w:cs="Calibri"/>
        </w:rPr>
        <w:t xml:space="preserve">For example, if a business uses a haulier, </w:t>
      </w:r>
      <w:r w:rsidR="00452598" w:rsidRPr="00240534">
        <w:rPr>
          <w:rFonts w:ascii="Calibri" w:hAnsi="Calibri" w:cs="Calibri"/>
          <w:i/>
        </w:rPr>
        <w:t>H</w:t>
      </w:r>
      <w:r w:rsidR="00452598" w:rsidRPr="00240534">
        <w:rPr>
          <w:rFonts w:ascii="Calibri" w:hAnsi="Calibri" w:cs="Calibri"/>
        </w:rPr>
        <w:t xml:space="preserve">, to deliver goods to its retailers, </w:t>
      </w:r>
      <w:r w:rsidR="00452598" w:rsidRPr="00240534">
        <w:rPr>
          <w:rFonts w:ascii="Calibri" w:hAnsi="Calibri" w:cs="Calibri"/>
          <w:i/>
        </w:rPr>
        <w:t>R</w:t>
      </w:r>
      <w:r w:rsidR="00452598" w:rsidRPr="00240534">
        <w:rPr>
          <w:rFonts w:ascii="Calibri" w:hAnsi="Calibri" w:cs="Calibri"/>
        </w:rPr>
        <w:t xml:space="preserve"> via two motorways, </w:t>
      </w:r>
      <w:r w:rsidR="00452598" w:rsidRPr="00240534">
        <w:rPr>
          <w:rFonts w:ascii="Calibri" w:hAnsi="Calibri" w:cs="Calibri"/>
          <w:i/>
        </w:rPr>
        <w:t>M1 and M2,</w:t>
      </w:r>
      <w:r w:rsidR="00452598" w:rsidRPr="00240534">
        <w:rPr>
          <w:rFonts w:ascii="Calibri" w:hAnsi="Calibri" w:cs="Calibri"/>
        </w:rPr>
        <w:t xml:space="preserve"> then the business will fail to deliver goods to </w:t>
      </w:r>
      <w:r w:rsidR="00452598" w:rsidRPr="00240534">
        <w:rPr>
          <w:rFonts w:ascii="Calibri" w:hAnsi="Calibri" w:cs="Calibri"/>
          <w:i/>
        </w:rPr>
        <w:t>R</w:t>
      </w:r>
      <w:r w:rsidR="00452598" w:rsidRPr="00240534">
        <w:rPr>
          <w:rFonts w:ascii="Calibri" w:hAnsi="Calibri" w:cs="Calibri"/>
        </w:rPr>
        <w:t xml:space="preserve"> when </w:t>
      </w:r>
      <w:r w:rsidR="00452598" w:rsidRPr="00240534">
        <w:rPr>
          <w:rFonts w:ascii="Calibri" w:hAnsi="Calibri" w:cs="Calibri"/>
          <w:i/>
        </w:rPr>
        <w:t>H</w:t>
      </w:r>
      <w:r w:rsidR="00452598" w:rsidRPr="00240534">
        <w:rPr>
          <w:rFonts w:ascii="Calibri" w:hAnsi="Calibri" w:cs="Calibri"/>
        </w:rPr>
        <w:t xml:space="preserve"> fails OR (</w:t>
      </w:r>
      <w:r w:rsidR="00452598" w:rsidRPr="00240534">
        <w:rPr>
          <w:rFonts w:ascii="Calibri" w:hAnsi="Calibri" w:cs="Calibri"/>
          <w:i/>
        </w:rPr>
        <w:t>M1</w:t>
      </w:r>
      <w:r w:rsidR="00452598" w:rsidRPr="00240534">
        <w:rPr>
          <w:rFonts w:ascii="Calibri" w:hAnsi="Calibri" w:cs="Calibri"/>
        </w:rPr>
        <w:t xml:space="preserve"> AND </w:t>
      </w:r>
      <w:r w:rsidR="00452598" w:rsidRPr="00240534">
        <w:rPr>
          <w:rFonts w:ascii="Calibri" w:hAnsi="Calibri" w:cs="Calibri"/>
          <w:i/>
        </w:rPr>
        <w:t>M2</w:t>
      </w:r>
      <w:r w:rsidR="00452598" w:rsidRPr="00240534">
        <w:rPr>
          <w:rFonts w:ascii="Calibri" w:hAnsi="Calibri" w:cs="Calibri"/>
        </w:rPr>
        <w:t xml:space="preserve"> fail). </w:t>
      </w:r>
      <w:r w:rsidR="008C58CC" w:rsidRPr="00240534">
        <w:rPr>
          <w:rFonts w:ascii="Calibri" w:hAnsi="Calibri" w:cs="Calibri"/>
        </w:rPr>
        <w:t xml:space="preserve">Failure of </w:t>
      </w:r>
      <w:r w:rsidR="008C58CC" w:rsidRPr="00240534">
        <w:rPr>
          <w:rFonts w:ascii="Calibri" w:hAnsi="Calibri" w:cs="Calibri"/>
          <w:i/>
        </w:rPr>
        <w:t>H</w:t>
      </w:r>
      <w:r w:rsidR="008C58CC" w:rsidRPr="00240534">
        <w:rPr>
          <w:rFonts w:ascii="Calibri" w:hAnsi="Calibri" w:cs="Calibri"/>
        </w:rPr>
        <w:t xml:space="preserve"> could be due to industrial action, liquidation etc., failure of </w:t>
      </w:r>
      <w:r w:rsidR="008C58CC" w:rsidRPr="00240534">
        <w:rPr>
          <w:rFonts w:ascii="Calibri" w:hAnsi="Calibri" w:cs="Calibri"/>
          <w:i/>
        </w:rPr>
        <w:t>M1</w:t>
      </w:r>
      <w:r w:rsidR="008C58CC" w:rsidRPr="00240534">
        <w:rPr>
          <w:rFonts w:ascii="Calibri" w:hAnsi="Calibri" w:cs="Calibri"/>
        </w:rPr>
        <w:t xml:space="preserve"> and </w:t>
      </w:r>
      <w:r w:rsidR="008C58CC" w:rsidRPr="00240534">
        <w:rPr>
          <w:rFonts w:ascii="Calibri" w:hAnsi="Calibri" w:cs="Calibri"/>
          <w:i/>
        </w:rPr>
        <w:t>M2</w:t>
      </w:r>
      <w:r w:rsidR="008C58CC" w:rsidRPr="00240534">
        <w:rPr>
          <w:rFonts w:ascii="Calibri" w:hAnsi="Calibri" w:cs="Calibri"/>
        </w:rPr>
        <w:t xml:space="preserve"> could be due to motorway disruption etc.</w:t>
      </w:r>
    </w:p>
    <w:p w:rsidR="00D26131" w:rsidRPr="00240534" w:rsidRDefault="00D26131" w:rsidP="00240534">
      <w:pPr>
        <w:spacing w:line="240" w:lineRule="auto"/>
        <w:jc w:val="both"/>
        <w:rPr>
          <w:rFonts w:ascii="Calibri" w:hAnsi="Calibri" w:cs="Calibri"/>
        </w:rPr>
      </w:pPr>
    </w:p>
    <w:p w:rsidR="00CF2CC2" w:rsidRPr="00240534" w:rsidRDefault="005D030A" w:rsidP="00240534">
      <w:pPr>
        <w:spacing w:line="240" w:lineRule="auto"/>
        <w:jc w:val="both"/>
        <w:rPr>
          <w:rFonts w:ascii="Calibri" w:hAnsi="Calibri" w:cs="Calibri"/>
        </w:rPr>
      </w:pPr>
      <w:r w:rsidRPr="00240534">
        <w:rPr>
          <w:rFonts w:ascii="Calibri" w:hAnsi="Calibri" w:cs="Calibri"/>
        </w:rPr>
        <w:t>The PAND gate is use</w:t>
      </w:r>
      <w:r w:rsidR="00F238E7" w:rsidRPr="00240534">
        <w:rPr>
          <w:rFonts w:ascii="Calibri" w:hAnsi="Calibri" w:cs="Calibri"/>
        </w:rPr>
        <w:t>d</w:t>
      </w:r>
      <w:r w:rsidRPr="00240534">
        <w:rPr>
          <w:rFonts w:ascii="Calibri" w:hAnsi="Calibri" w:cs="Calibri"/>
        </w:rPr>
        <w:t xml:space="preserve"> to represent scenarios where an </w:t>
      </w:r>
      <w:r w:rsidR="00451057" w:rsidRPr="00240534">
        <w:rPr>
          <w:rFonts w:ascii="Calibri" w:hAnsi="Calibri" w:cs="Calibri"/>
        </w:rPr>
        <w:t xml:space="preserve">input </w:t>
      </w:r>
      <w:r w:rsidRPr="00240534">
        <w:rPr>
          <w:rFonts w:ascii="Calibri" w:hAnsi="Calibri" w:cs="Calibri"/>
        </w:rPr>
        <w:t xml:space="preserve">event occurs strictly before another </w:t>
      </w:r>
      <w:r w:rsidR="00451057" w:rsidRPr="00240534">
        <w:rPr>
          <w:rFonts w:ascii="Calibri" w:hAnsi="Calibri" w:cs="Calibri"/>
        </w:rPr>
        <w:t xml:space="preserve">input </w:t>
      </w:r>
      <w:r w:rsidRPr="00240534">
        <w:rPr>
          <w:rFonts w:ascii="Calibri" w:hAnsi="Calibri" w:cs="Calibri"/>
        </w:rPr>
        <w:t>event</w:t>
      </w:r>
      <w:r w:rsidR="00451057" w:rsidRPr="00240534">
        <w:rPr>
          <w:rFonts w:ascii="Calibri" w:hAnsi="Calibri" w:cs="Calibri"/>
        </w:rPr>
        <w:t xml:space="preserve"> to trigger an output event</w:t>
      </w:r>
      <w:r w:rsidR="00F02D9B" w:rsidRPr="00240534">
        <w:rPr>
          <w:rFonts w:ascii="Calibri" w:hAnsi="Calibri" w:cs="Calibri"/>
        </w:rPr>
        <w:t xml:space="preserve">. </w:t>
      </w:r>
      <w:r w:rsidR="00F238E7" w:rsidRPr="00240534">
        <w:rPr>
          <w:rFonts w:ascii="Calibri" w:hAnsi="Calibri" w:cs="Calibri"/>
        </w:rPr>
        <w:t>As shown</w:t>
      </w:r>
      <w:r w:rsidR="00F02D9B" w:rsidRPr="00240534">
        <w:rPr>
          <w:rFonts w:ascii="Calibri" w:hAnsi="Calibri" w:cs="Calibri"/>
        </w:rPr>
        <w:t xml:space="preserve"> in </w:t>
      </w:r>
      <w:r w:rsidR="00553FF7" w:rsidRPr="00240534">
        <w:rPr>
          <w:rFonts w:ascii="Calibri" w:hAnsi="Calibri" w:cs="Calibri"/>
        </w:rPr>
        <w:t>Figure 2</w:t>
      </w:r>
      <w:r w:rsidR="00F02D9B" w:rsidRPr="00240534">
        <w:rPr>
          <w:rFonts w:ascii="Calibri" w:hAnsi="Calibri" w:cs="Calibri"/>
        </w:rPr>
        <w:t>c</w:t>
      </w:r>
      <w:r w:rsidR="0023309A" w:rsidRPr="00240534">
        <w:rPr>
          <w:rFonts w:ascii="Calibri" w:hAnsi="Calibri" w:cs="Calibri"/>
        </w:rPr>
        <w:t>,</w:t>
      </w:r>
      <w:r w:rsidR="00F02D9B" w:rsidRPr="00240534">
        <w:rPr>
          <w:rFonts w:ascii="Calibri" w:hAnsi="Calibri" w:cs="Calibri"/>
        </w:rPr>
        <w:t xml:space="preserve"> the output </w:t>
      </w:r>
      <w:r w:rsidR="0007626B" w:rsidRPr="00240534">
        <w:rPr>
          <w:rFonts w:ascii="Calibri" w:hAnsi="Calibri" w:cs="Calibri"/>
        </w:rPr>
        <w:t>event</w:t>
      </w:r>
      <w:r w:rsidR="00F02D9B" w:rsidRPr="00240534">
        <w:rPr>
          <w:rFonts w:ascii="Calibri" w:hAnsi="Calibri" w:cs="Calibri"/>
        </w:rPr>
        <w:t xml:space="preserve"> </w:t>
      </w:r>
      <w:r w:rsidR="00F02D9B" w:rsidRPr="00240534">
        <w:rPr>
          <w:rFonts w:ascii="Calibri" w:hAnsi="Calibri" w:cs="Calibri"/>
          <w:i/>
        </w:rPr>
        <w:t>Q</w:t>
      </w:r>
      <w:r w:rsidR="0023309A" w:rsidRPr="00240534">
        <w:rPr>
          <w:rFonts w:ascii="Calibri" w:hAnsi="Calibri" w:cs="Calibri"/>
        </w:rPr>
        <w:t xml:space="preserve"> occurs when</w:t>
      </w:r>
      <w:r w:rsidR="00F02D9B" w:rsidRPr="00240534">
        <w:rPr>
          <w:rFonts w:ascii="Calibri" w:hAnsi="Calibri" w:cs="Calibri"/>
        </w:rPr>
        <w:t xml:space="preserve"> event </w:t>
      </w:r>
      <w:r w:rsidR="00F02D9B" w:rsidRPr="00240534">
        <w:rPr>
          <w:rFonts w:ascii="Calibri" w:hAnsi="Calibri" w:cs="Calibri"/>
          <w:i/>
        </w:rPr>
        <w:t>A</w:t>
      </w:r>
      <w:r w:rsidR="00F02D9B" w:rsidRPr="00240534">
        <w:rPr>
          <w:rFonts w:ascii="Calibri" w:hAnsi="Calibri" w:cs="Calibri"/>
        </w:rPr>
        <w:t xml:space="preserve"> occurs strictly before the subsequent event </w:t>
      </w:r>
      <w:r w:rsidR="00F02D9B" w:rsidRPr="00240534">
        <w:rPr>
          <w:rFonts w:ascii="Calibri" w:hAnsi="Calibri" w:cs="Calibri"/>
          <w:i/>
        </w:rPr>
        <w:t>B</w:t>
      </w:r>
      <w:r w:rsidR="002201F8" w:rsidRPr="00240534">
        <w:rPr>
          <w:rFonts w:ascii="Calibri" w:hAnsi="Calibri" w:cs="Calibri"/>
        </w:rPr>
        <w:t>.</w:t>
      </w:r>
      <w:r w:rsidR="00451057" w:rsidRPr="00240534">
        <w:rPr>
          <w:rFonts w:ascii="Calibri" w:hAnsi="Calibri" w:cs="Calibri"/>
        </w:rPr>
        <w:t xml:space="preserve"> For example, assume a business has two main suppliers </w:t>
      </w:r>
      <w:r w:rsidR="00451057" w:rsidRPr="00240534">
        <w:rPr>
          <w:rFonts w:ascii="Calibri" w:hAnsi="Calibri" w:cs="Calibri"/>
          <w:i/>
        </w:rPr>
        <w:t>S1</w:t>
      </w:r>
      <w:r w:rsidR="00451057" w:rsidRPr="00240534">
        <w:rPr>
          <w:rFonts w:ascii="Calibri" w:hAnsi="Calibri" w:cs="Calibri"/>
        </w:rPr>
        <w:t xml:space="preserve">, </w:t>
      </w:r>
      <w:r w:rsidR="00451057" w:rsidRPr="00240534">
        <w:rPr>
          <w:rFonts w:ascii="Calibri" w:hAnsi="Calibri" w:cs="Calibri"/>
          <w:i/>
        </w:rPr>
        <w:t>S2</w:t>
      </w:r>
      <w:r w:rsidR="000E0E18" w:rsidRPr="00240534">
        <w:rPr>
          <w:rFonts w:ascii="Calibri" w:hAnsi="Calibri" w:cs="Calibri"/>
          <w:i/>
        </w:rPr>
        <w:t xml:space="preserve">, </w:t>
      </w:r>
      <w:r w:rsidR="00F238E7" w:rsidRPr="00240534">
        <w:rPr>
          <w:rFonts w:ascii="Calibri" w:hAnsi="Calibri" w:cs="Calibri"/>
        </w:rPr>
        <w:t>which</w:t>
      </w:r>
      <w:r w:rsidR="000E0E18" w:rsidRPr="00240534">
        <w:rPr>
          <w:rFonts w:ascii="Calibri" w:hAnsi="Calibri" w:cs="Calibri"/>
        </w:rPr>
        <w:t xml:space="preserve"> supply</w:t>
      </w:r>
      <w:r w:rsidR="00451057" w:rsidRPr="00240534">
        <w:rPr>
          <w:rFonts w:ascii="Calibri" w:hAnsi="Calibri" w:cs="Calibri"/>
        </w:rPr>
        <w:t xml:space="preserve"> 85% </w:t>
      </w:r>
      <w:r w:rsidR="000E0E18" w:rsidRPr="00240534">
        <w:rPr>
          <w:rFonts w:ascii="Calibri" w:hAnsi="Calibri" w:cs="Calibri"/>
        </w:rPr>
        <w:t xml:space="preserve">and 15% </w:t>
      </w:r>
      <w:r w:rsidR="00451057" w:rsidRPr="00240534">
        <w:rPr>
          <w:rFonts w:ascii="Calibri" w:hAnsi="Calibri" w:cs="Calibri"/>
        </w:rPr>
        <w:t xml:space="preserve">of </w:t>
      </w:r>
      <w:r w:rsidR="00F238E7" w:rsidRPr="00240534">
        <w:rPr>
          <w:rFonts w:ascii="Calibri" w:hAnsi="Calibri" w:cs="Calibri"/>
        </w:rPr>
        <w:t>a commodity</w:t>
      </w:r>
      <w:r w:rsidR="00451057" w:rsidRPr="00240534">
        <w:rPr>
          <w:rFonts w:ascii="Calibri" w:hAnsi="Calibri" w:cs="Calibri"/>
        </w:rPr>
        <w:t xml:space="preserve"> </w:t>
      </w:r>
      <w:r w:rsidR="000E0E18" w:rsidRPr="00240534">
        <w:rPr>
          <w:rFonts w:ascii="Calibri" w:hAnsi="Calibri" w:cs="Calibri"/>
        </w:rPr>
        <w:t>respectively. If there is a shortfall in</w:t>
      </w:r>
      <w:r w:rsidR="00F238E7" w:rsidRPr="00240534">
        <w:rPr>
          <w:rFonts w:ascii="Calibri" w:hAnsi="Calibri" w:cs="Calibri"/>
        </w:rPr>
        <w:t xml:space="preserve"> supplies from</w:t>
      </w:r>
      <w:r w:rsidR="000E0E18" w:rsidRPr="00240534">
        <w:rPr>
          <w:rFonts w:ascii="Calibri" w:hAnsi="Calibri" w:cs="Calibri"/>
        </w:rPr>
        <w:t xml:space="preserve"> </w:t>
      </w:r>
      <w:r w:rsidR="000E0E18" w:rsidRPr="00240534">
        <w:rPr>
          <w:rFonts w:ascii="Calibri" w:hAnsi="Calibri" w:cs="Calibri"/>
          <w:i/>
        </w:rPr>
        <w:t>S1</w:t>
      </w:r>
      <w:r w:rsidR="000E0E18" w:rsidRPr="00240534">
        <w:rPr>
          <w:rFonts w:ascii="Calibri" w:hAnsi="Calibri" w:cs="Calibri"/>
        </w:rPr>
        <w:t xml:space="preserve">, an administrative officer </w:t>
      </w:r>
      <w:r w:rsidR="000E0E18" w:rsidRPr="00240534">
        <w:rPr>
          <w:rFonts w:ascii="Calibri" w:hAnsi="Calibri" w:cs="Calibri"/>
          <w:i/>
        </w:rPr>
        <w:t>AO</w:t>
      </w:r>
      <w:r w:rsidR="000E0E18" w:rsidRPr="00240534">
        <w:rPr>
          <w:rFonts w:ascii="Calibri" w:hAnsi="Calibri" w:cs="Calibri"/>
        </w:rPr>
        <w:t xml:space="preserve"> puts in a request to </w:t>
      </w:r>
      <w:r w:rsidR="000E0E18" w:rsidRPr="00240534">
        <w:rPr>
          <w:rFonts w:ascii="Calibri" w:hAnsi="Calibri" w:cs="Calibri"/>
          <w:i/>
        </w:rPr>
        <w:t>S2</w:t>
      </w:r>
      <w:r w:rsidR="000E0E18" w:rsidRPr="00240534">
        <w:rPr>
          <w:rFonts w:ascii="Calibri" w:hAnsi="Calibri" w:cs="Calibri"/>
        </w:rPr>
        <w:t xml:space="preserve"> to provide</w:t>
      </w:r>
      <w:r w:rsidR="00F238E7" w:rsidRPr="00240534">
        <w:rPr>
          <w:rFonts w:ascii="Calibri" w:hAnsi="Calibri" w:cs="Calibri"/>
        </w:rPr>
        <w:t xml:space="preserve"> additional volume to make up</w:t>
      </w:r>
      <w:r w:rsidR="000E0E18" w:rsidRPr="00240534">
        <w:rPr>
          <w:rFonts w:ascii="Calibri" w:hAnsi="Calibri" w:cs="Calibri"/>
        </w:rPr>
        <w:t xml:space="preserve"> the shortfall. In this case, a possible cause of failure in deliveries </w:t>
      </w:r>
      <w:r w:rsidR="00DB0E44" w:rsidRPr="00240534">
        <w:rPr>
          <w:rFonts w:ascii="Calibri" w:hAnsi="Calibri" w:cs="Calibri"/>
        </w:rPr>
        <w:t>would be</w:t>
      </w:r>
      <w:r w:rsidR="000E0E18" w:rsidRPr="00240534">
        <w:rPr>
          <w:rFonts w:ascii="Calibri" w:hAnsi="Calibri" w:cs="Calibri"/>
        </w:rPr>
        <w:t xml:space="preserve"> </w:t>
      </w:r>
      <w:r w:rsidR="000E0E18" w:rsidRPr="00240534">
        <w:rPr>
          <w:rFonts w:ascii="Calibri" w:hAnsi="Calibri" w:cs="Calibri"/>
          <w:i/>
        </w:rPr>
        <w:t>AO</w:t>
      </w:r>
      <w:r w:rsidR="00DB0E44" w:rsidRPr="00240534">
        <w:rPr>
          <w:rFonts w:ascii="Calibri" w:hAnsi="Calibri" w:cs="Calibri"/>
        </w:rPr>
        <w:t xml:space="preserve"> failing</w:t>
      </w:r>
      <w:r w:rsidR="000E0E18" w:rsidRPr="00240534">
        <w:rPr>
          <w:rFonts w:ascii="Calibri" w:hAnsi="Calibri" w:cs="Calibri"/>
        </w:rPr>
        <w:t xml:space="preserve"> before </w:t>
      </w:r>
      <w:r w:rsidR="000E0E18" w:rsidRPr="00240534">
        <w:rPr>
          <w:rFonts w:ascii="Calibri" w:hAnsi="Calibri" w:cs="Calibri"/>
          <w:i/>
        </w:rPr>
        <w:t>S1</w:t>
      </w:r>
      <w:r w:rsidR="000E0E18" w:rsidRPr="00240534">
        <w:rPr>
          <w:rFonts w:ascii="Calibri" w:hAnsi="Calibri" w:cs="Calibri"/>
        </w:rPr>
        <w:t xml:space="preserve"> – i.e. </w:t>
      </w:r>
      <w:r w:rsidR="000E0E18" w:rsidRPr="00240534">
        <w:rPr>
          <w:rFonts w:ascii="Calibri" w:hAnsi="Calibri" w:cs="Calibri"/>
          <w:i/>
        </w:rPr>
        <w:t>AO</w:t>
      </w:r>
      <w:r w:rsidR="000E0E18" w:rsidRPr="00240534">
        <w:rPr>
          <w:rFonts w:ascii="Calibri" w:hAnsi="Calibri" w:cs="Calibri"/>
        </w:rPr>
        <w:t xml:space="preserve"> PAND </w:t>
      </w:r>
      <w:r w:rsidR="000E0E18" w:rsidRPr="00240534">
        <w:rPr>
          <w:rFonts w:ascii="Calibri" w:hAnsi="Calibri" w:cs="Calibri"/>
          <w:i/>
        </w:rPr>
        <w:t>S1</w:t>
      </w:r>
      <w:r w:rsidR="00451057" w:rsidRPr="00240534">
        <w:rPr>
          <w:rFonts w:ascii="Calibri" w:hAnsi="Calibri" w:cs="Calibri"/>
        </w:rPr>
        <w:t xml:space="preserve">. </w:t>
      </w:r>
      <w:r w:rsidR="00DB0E44" w:rsidRPr="00240534">
        <w:rPr>
          <w:rFonts w:ascii="Calibri" w:hAnsi="Calibri" w:cs="Calibri"/>
        </w:rPr>
        <w:t xml:space="preserve">When </w:t>
      </w:r>
      <w:r w:rsidR="00DB0E44" w:rsidRPr="00240534">
        <w:rPr>
          <w:rFonts w:ascii="Calibri" w:hAnsi="Calibri" w:cs="Calibri"/>
          <w:i/>
        </w:rPr>
        <w:t>S1</w:t>
      </w:r>
      <w:r w:rsidR="00DB0E44" w:rsidRPr="00240534">
        <w:rPr>
          <w:rFonts w:ascii="Calibri" w:hAnsi="Calibri" w:cs="Calibri"/>
        </w:rPr>
        <w:t xml:space="preserve"> fails and </w:t>
      </w:r>
      <w:r w:rsidR="00DB0E44" w:rsidRPr="00240534">
        <w:rPr>
          <w:rFonts w:ascii="Calibri" w:hAnsi="Calibri" w:cs="Calibri"/>
          <w:i/>
        </w:rPr>
        <w:t>OA</w:t>
      </w:r>
      <w:r w:rsidR="00DB0E44" w:rsidRPr="00240534">
        <w:rPr>
          <w:rFonts w:ascii="Calibri" w:hAnsi="Calibri" w:cs="Calibri"/>
        </w:rPr>
        <w:t xml:space="preserve"> has failed prior</w:t>
      </w:r>
      <w:r w:rsidR="00F238E7" w:rsidRPr="00240534">
        <w:rPr>
          <w:rFonts w:ascii="Calibri" w:hAnsi="Calibri" w:cs="Calibri"/>
        </w:rPr>
        <w:t xml:space="preserve"> to this event</w:t>
      </w:r>
      <w:r w:rsidR="00DB0E44" w:rsidRPr="00240534">
        <w:rPr>
          <w:rFonts w:ascii="Calibri" w:hAnsi="Calibri" w:cs="Calibri"/>
        </w:rPr>
        <w:t xml:space="preserve">, the system fails because </w:t>
      </w:r>
      <w:r w:rsidR="00DB0E44" w:rsidRPr="00240534">
        <w:rPr>
          <w:rFonts w:ascii="Calibri" w:hAnsi="Calibri" w:cs="Calibri"/>
          <w:i/>
        </w:rPr>
        <w:t>S2</w:t>
      </w:r>
      <w:r w:rsidR="00DB0E44" w:rsidRPr="00240534">
        <w:rPr>
          <w:rFonts w:ascii="Calibri" w:hAnsi="Calibri" w:cs="Calibri"/>
        </w:rPr>
        <w:t xml:space="preserve"> would not be triggered to deliver </w:t>
      </w:r>
      <w:r w:rsidR="00F238E7" w:rsidRPr="00240534">
        <w:rPr>
          <w:rFonts w:ascii="Calibri" w:hAnsi="Calibri" w:cs="Calibri"/>
        </w:rPr>
        <w:t xml:space="preserve">additional </w:t>
      </w:r>
      <w:r w:rsidR="00DB0E44" w:rsidRPr="00240534">
        <w:rPr>
          <w:rFonts w:ascii="Calibri" w:hAnsi="Calibri" w:cs="Calibri"/>
        </w:rPr>
        <w:t>supplies.</w:t>
      </w:r>
    </w:p>
    <w:p w:rsidR="00CF2CC2" w:rsidRPr="00240534" w:rsidRDefault="00CF2CC2" w:rsidP="00240534">
      <w:pPr>
        <w:spacing w:line="240" w:lineRule="auto"/>
        <w:jc w:val="both"/>
        <w:rPr>
          <w:rFonts w:ascii="Calibri" w:hAnsi="Calibri" w:cs="Calibri"/>
        </w:rPr>
      </w:pPr>
    </w:p>
    <w:p w:rsidR="00195E69" w:rsidRPr="00240534" w:rsidRDefault="002201F8" w:rsidP="00240534">
      <w:pPr>
        <w:spacing w:line="240" w:lineRule="auto"/>
        <w:jc w:val="both"/>
        <w:rPr>
          <w:rFonts w:ascii="Calibri" w:hAnsi="Calibri" w:cs="Calibri"/>
        </w:rPr>
      </w:pPr>
      <w:r w:rsidRPr="00240534">
        <w:rPr>
          <w:rFonts w:ascii="Calibri" w:hAnsi="Calibri" w:cs="Calibri"/>
        </w:rPr>
        <w:t xml:space="preserve">The POR gate, represented in </w:t>
      </w:r>
      <w:r w:rsidR="00553FF7" w:rsidRPr="00240534">
        <w:rPr>
          <w:rFonts w:ascii="Calibri" w:hAnsi="Calibri" w:cs="Calibri"/>
        </w:rPr>
        <w:t>Figure 2</w:t>
      </w:r>
      <w:r w:rsidRPr="00240534">
        <w:rPr>
          <w:rFonts w:ascii="Calibri" w:hAnsi="Calibri" w:cs="Calibri"/>
        </w:rPr>
        <w:t xml:space="preserve">d, </w:t>
      </w:r>
      <w:r w:rsidR="005D030A" w:rsidRPr="00240534">
        <w:rPr>
          <w:rFonts w:ascii="Calibri" w:hAnsi="Calibri" w:cs="Calibri"/>
        </w:rPr>
        <w:t xml:space="preserve">is triggered when an event </w:t>
      </w:r>
      <w:r w:rsidRPr="00240534">
        <w:rPr>
          <w:rFonts w:ascii="Calibri" w:hAnsi="Calibri" w:cs="Calibri"/>
          <w:i/>
        </w:rPr>
        <w:t>A</w:t>
      </w:r>
      <w:r w:rsidRPr="00240534">
        <w:rPr>
          <w:rFonts w:ascii="Calibri" w:hAnsi="Calibri" w:cs="Calibri"/>
        </w:rPr>
        <w:t xml:space="preserve"> </w:t>
      </w:r>
      <w:r w:rsidR="005D030A" w:rsidRPr="00240534">
        <w:rPr>
          <w:rFonts w:ascii="Calibri" w:hAnsi="Calibri" w:cs="Calibri"/>
        </w:rPr>
        <w:t xml:space="preserve">occurs strictly before </w:t>
      </w:r>
      <w:r w:rsidRPr="00240534">
        <w:rPr>
          <w:rFonts w:ascii="Calibri" w:hAnsi="Calibri" w:cs="Calibri"/>
        </w:rPr>
        <w:t>a subsequent</w:t>
      </w:r>
      <w:r w:rsidR="005D030A" w:rsidRPr="00240534">
        <w:rPr>
          <w:rFonts w:ascii="Calibri" w:hAnsi="Calibri" w:cs="Calibri"/>
        </w:rPr>
        <w:t xml:space="preserve"> event </w:t>
      </w:r>
      <w:r w:rsidRPr="00240534">
        <w:rPr>
          <w:rFonts w:ascii="Calibri" w:hAnsi="Calibri" w:cs="Calibri"/>
          <w:i/>
        </w:rPr>
        <w:t>B</w:t>
      </w:r>
      <w:r w:rsidRPr="00240534">
        <w:rPr>
          <w:rFonts w:ascii="Calibri" w:hAnsi="Calibri" w:cs="Calibri"/>
        </w:rPr>
        <w:t xml:space="preserve"> </w:t>
      </w:r>
      <w:r w:rsidR="005D030A" w:rsidRPr="00240534">
        <w:rPr>
          <w:rFonts w:ascii="Calibri" w:hAnsi="Calibri" w:cs="Calibri"/>
        </w:rPr>
        <w:t xml:space="preserve">but the subsequent event </w:t>
      </w:r>
      <w:r w:rsidRPr="00240534">
        <w:rPr>
          <w:rFonts w:ascii="Calibri" w:hAnsi="Calibri" w:cs="Calibri"/>
          <w:i/>
        </w:rPr>
        <w:t>B</w:t>
      </w:r>
      <w:r w:rsidRPr="00240534">
        <w:rPr>
          <w:rFonts w:ascii="Calibri" w:hAnsi="Calibri" w:cs="Calibri"/>
        </w:rPr>
        <w:t xml:space="preserve"> </w:t>
      </w:r>
      <w:r w:rsidR="005D030A" w:rsidRPr="00240534">
        <w:rPr>
          <w:rFonts w:ascii="Calibri" w:hAnsi="Calibri" w:cs="Calibri"/>
        </w:rPr>
        <w:t xml:space="preserve">need not occur for the gate to be triggered. </w:t>
      </w:r>
      <w:r w:rsidR="00F77A0F" w:rsidRPr="00240534">
        <w:rPr>
          <w:rFonts w:ascii="Calibri" w:hAnsi="Calibri" w:cs="Calibri"/>
        </w:rPr>
        <w:t>Unlike the PAND gate where the output event is not triggered until all input events have occurred, in the POR gate, the output event is triggered when the first (leftmost) input event occurs.</w:t>
      </w:r>
      <w:r w:rsidR="00157628" w:rsidRPr="00240534">
        <w:rPr>
          <w:rFonts w:ascii="Calibri" w:hAnsi="Calibri" w:cs="Calibri"/>
        </w:rPr>
        <w:t xml:space="preserve"> From the previous example for the PAND gate, if the maximum shortfall </w:t>
      </w:r>
      <w:r w:rsidR="00157628" w:rsidRPr="00240534">
        <w:rPr>
          <w:rFonts w:ascii="Calibri" w:hAnsi="Calibri" w:cs="Calibri"/>
          <w:i/>
        </w:rPr>
        <w:t>S2</w:t>
      </w:r>
      <w:r w:rsidR="00157628" w:rsidRPr="00240534">
        <w:rPr>
          <w:rFonts w:ascii="Calibri" w:hAnsi="Calibri" w:cs="Calibri"/>
        </w:rPr>
        <w:t xml:space="preserve"> can supply if </w:t>
      </w:r>
      <w:r w:rsidR="00157628" w:rsidRPr="00240534">
        <w:rPr>
          <w:rFonts w:ascii="Calibri" w:hAnsi="Calibri" w:cs="Calibri"/>
          <w:i/>
        </w:rPr>
        <w:t>S1</w:t>
      </w:r>
      <w:r w:rsidR="00157628" w:rsidRPr="00240534">
        <w:rPr>
          <w:rFonts w:ascii="Calibri" w:hAnsi="Calibri" w:cs="Calibri"/>
        </w:rPr>
        <w:t xml:space="preserve"> fails is 80%, then</w:t>
      </w:r>
      <w:r w:rsidR="00735821" w:rsidRPr="00240534">
        <w:rPr>
          <w:rFonts w:ascii="Calibri" w:hAnsi="Calibri" w:cs="Calibri"/>
        </w:rPr>
        <w:t>,</w:t>
      </w:r>
      <w:r w:rsidR="00157628" w:rsidRPr="00240534">
        <w:rPr>
          <w:rFonts w:ascii="Calibri" w:hAnsi="Calibri" w:cs="Calibri"/>
        </w:rPr>
        <w:t xml:space="preserve"> for a shortage in supply to occur,</w:t>
      </w:r>
      <w:r w:rsidR="00735821" w:rsidRPr="00240534">
        <w:rPr>
          <w:rFonts w:ascii="Calibri" w:hAnsi="Calibri" w:cs="Calibri"/>
        </w:rPr>
        <w:t xml:space="preserve"> </w:t>
      </w:r>
      <w:r w:rsidR="00735821" w:rsidRPr="00240534">
        <w:rPr>
          <w:rFonts w:ascii="Calibri" w:hAnsi="Calibri" w:cs="Calibri"/>
          <w:i/>
        </w:rPr>
        <w:t>S1</w:t>
      </w:r>
      <w:r w:rsidR="00735821" w:rsidRPr="00240534">
        <w:rPr>
          <w:rFonts w:ascii="Calibri" w:hAnsi="Calibri" w:cs="Calibri"/>
        </w:rPr>
        <w:t xml:space="preserve"> must fail before </w:t>
      </w:r>
      <w:r w:rsidR="00735821" w:rsidRPr="00240534">
        <w:rPr>
          <w:rFonts w:ascii="Calibri" w:hAnsi="Calibri" w:cs="Calibri"/>
          <w:i/>
        </w:rPr>
        <w:t>S2</w:t>
      </w:r>
      <w:r w:rsidR="00735821" w:rsidRPr="00240534">
        <w:rPr>
          <w:rFonts w:ascii="Calibri" w:hAnsi="Calibri" w:cs="Calibri"/>
        </w:rPr>
        <w:t xml:space="preserve"> or if only </w:t>
      </w:r>
      <w:r w:rsidR="00735821" w:rsidRPr="00240534">
        <w:rPr>
          <w:rFonts w:ascii="Calibri" w:hAnsi="Calibri" w:cs="Calibri"/>
          <w:i/>
        </w:rPr>
        <w:t>S1</w:t>
      </w:r>
      <w:r w:rsidR="00735821" w:rsidRPr="00240534">
        <w:rPr>
          <w:rFonts w:ascii="Calibri" w:hAnsi="Calibri" w:cs="Calibri"/>
        </w:rPr>
        <w:t xml:space="preserve"> fails.</w:t>
      </w:r>
      <w:r w:rsidR="00392B7B" w:rsidRPr="00240534">
        <w:rPr>
          <w:rFonts w:ascii="Calibri" w:hAnsi="Calibri" w:cs="Calibri"/>
        </w:rPr>
        <w:t xml:space="preserve"> In this case, the failure triggering expression can be expressed as </w:t>
      </w:r>
      <w:r w:rsidR="00392B7B" w:rsidRPr="00240534">
        <w:rPr>
          <w:rFonts w:ascii="Calibri" w:hAnsi="Calibri" w:cs="Calibri"/>
          <w:i/>
        </w:rPr>
        <w:t>S1</w:t>
      </w:r>
      <w:r w:rsidR="00392B7B" w:rsidRPr="00240534">
        <w:rPr>
          <w:rFonts w:ascii="Calibri" w:hAnsi="Calibri" w:cs="Calibri"/>
        </w:rPr>
        <w:t xml:space="preserve"> POR </w:t>
      </w:r>
      <w:r w:rsidR="00392B7B" w:rsidRPr="00240534">
        <w:rPr>
          <w:rFonts w:ascii="Calibri" w:hAnsi="Calibri" w:cs="Calibri"/>
          <w:i/>
        </w:rPr>
        <w:t>S2</w:t>
      </w:r>
      <w:r w:rsidR="00392B7B" w:rsidRPr="00240534">
        <w:rPr>
          <w:rFonts w:ascii="Calibri" w:hAnsi="Calibri" w:cs="Calibri"/>
        </w:rPr>
        <w:t>.</w:t>
      </w:r>
    </w:p>
    <w:p w:rsidR="00195E69" w:rsidRPr="00240534" w:rsidRDefault="00195E69" w:rsidP="00240534">
      <w:pPr>
        <w:spacing w:line="240" w:lineRule="auto"/>
        <w:jc w:val="both"/>
        <w:rPr>
          <w:rFonts w:ascii="Calibri" w:hAnsi="Calibri" w:cs="Calibri"/>
        </w:rPr>
      </w:pPr>
    </w:p>
    <w:p w:rsidR="00EC745E" w:rsidRPr="00240534" w:rsidRDefault="005D030A" w:rsidP="00240534">
      <w:pPr>
        <w:spacing w:line="240" w:lineRule="auto"/>
        <w:jc w:val="both"/>
        <w:rPr>
          <w:rFonts w:ascii="Calibri" w:hAnsi="Calibri" w:cs="Calibri"/>
        </w:rPr>
      </w:pPr>
      <w:r w:rsidRPr="00240534">
        <w:rPr>
          <w:rFonts w:ascii="Calibri" w:hAnsi="Calibri" w:cs="Calibri"/>
        </w:rPr>
        <w:t>The SAND gate</w:t>
      </w:r>
      <w:r w:rsidR="00262708" w:rsidRPr="00240534">
        <w:rPr>
          <w:rFonts w:ascii="Calibri" w:hAnsi="Calibri" w:cs="Calibri"/>
        </w:rPr>
        <w:t xml:space="preserve">, in </w:t>
      </w:r>
      <w:r w:rsidR="00553FF7" w:rsidRPr="00240534">
        <w:rPr>
          <w:rFonts w:ascii="Calibri" w:hAnsi="Calibri" w:cs="Calibri"/>
        </w:rPr>
        <w:t>Figure 2</w:t>
      </w:r>
      <w:r w:rsidR="00262708" w:rsidRPr="00240534">
        <w:rPr>
          <w:rFonts w:ascii="Calibri" w:hAnsi="Calibri" w:cs="Calibri"/>
        </w:rPr>
        <w:t>e,</w:t>
      </w:r>
      <w:r w:rsidRPr="00240534">
        <w:rPr>
          <w:rFonts w:ascii="Calibri" w:hAnsi="Calibri" w:cs="Calibri"/>
        </w:rPr>
        <w:t xml:space="preserve"> models the situation where two or more events occur at exactly the same time</w:t>
      </w:r>
      <w:r w:rsidR="00262708" w:rsidRPr="00240534">
        <w:rPr>
          <w:rFonts w:ascii="Calibri" w:hAnsi="Calibri" w:cs="Calibri"/>
        </w:rPr>
        <w:t xml:space="preserve">; </w:t>
      </w:r>
      <w:r w:rsidR="00262708" w:rsidRPr="00240534">
        <w:rPr>
          <w:rFonts w:ascii="Calibri" w:hAnsi="Calibri" w:cs="Calibri"/>
          <w:i/>
        </w:rPr>
        <w:t>A</w:t>
      </w:r>
      <w:r w:rsidR="00262708" w:rsidRPr="00240534">
        <w:rPr>
          <w:rFonts w:ascii="Calibri" w:hAnsi="Calibri" w:cs="Calibri"/>
        </w:rPr>
        <w:t xml:space="preserve"> and </w:t>
      </w:r>
      <w:r w:rsidR="00262708" w:rsidRPr="00240534">
        <w:rPr>
          <w:rFonts w:ascii="Calibri" w:hAnsi="Calibri" w:cs="Calibri"/>
          <w:i/>
        </w:rPr>
        <w:t>B</w:t>
      </w:r>
      <w:r w:rsidR="00262708" w:rsidRPr="00240534">
        <w:rPr>
          <w:rFonts w:ascii="Calibri" w:hAnsi="Calibri" w:cs="Calibri"/>
        </w:rPr>
        <w:t xml:space="preserve"> need to occur at exactly the same time to trigger </w:t>
      </w:r>
      <w:r w:rsidR="00262708" w:rsidRPr="00240534">
        <w:rPr>
          <w:rFonts w:ascii="Calibri" w:hAnsi="Calibri" w:cs="Calibri"/>
          <w:i/>
        </w:rPr>
        <w:t>Q</w:t>
      </w:r>
      <w:r w:rsidRPr="00240534">
        <w:rPr>
          <w:rFonts w:ascii="Calibri" w:hAnsi="Calibri" w:cs="Calibri"/>
        </w:rPr>
        <w:t xml:space="preserve">. </w:t>
      </w:r>
      <w:r w:rsidR="003F4ADF" w:rsidRPr="00240534">
        <w:rPr>
          <w:rFonts w:ascii="Calibri" w:hAnsi="Calibri" w:cs="Calibri"/>
        </w:rPr>
        <w:t xml:space="preserve">In the real world, it is difficult to find a practical example of the SAND gate because it is statistically nearly impossible for two or more events to occur at the exact same time </w:t>
      </w:r>
      <w:r w:rsidR="002D4D82" w:rsidRPr="00240534">
        <w:rPr>
          <w:rFonts w:ascii="Calibri" w:hAnsi="Calibri" w:cs="Calibri"/>
        </w:rPr>
        <w:fldChar w:fldCharType="begin" w:fldLock="1"/>
      </w:r>
      <w:r w:rsidR="00E1122C" w:rsidRPr="00240534">
        <w:rPr>
          <w:rFonts w:ascii="Calibri" w:hAnsi="Calibri" w:cs="Calibri"/>
        </w:rPr>
        <w:instrText>ADDIN CSL_CITATION { "citationItems" : [ { "id" : "ITEM-1", "itemData" : { "author" : [ { "dropping-particle" : "", "family" : "Merle", "given" : "Guillaume", "non-dropping-particle" : "", "parse-names" : false, "suffix" : "" }, { "dropping-particle" : "", "family" : "Roussel", "given" : "JM", "non-dropping-particle" : "", "parse-names" : false, "suffix" : "" }, { "dropping-particle" : "", "family" : "Lesage", "given" : "J", "non-dropping-particle" : "", "parse-names" : false, "suffix" : "" }, { "dropping-particle" : "", "family" : "Bobbio", "given" : "A", "non-dropping-particle" : "", "parse-names" : false, "suffix" : "" } ], "container-title" : "IEEE Transactions on Reliability", "id" : "ITEM-1", "issue" : "1", "issued" : { "date-parts" : [ [ "2010" ] ] }, "page" : "250-261", "title" : "Probabilistic Algebraic Analysis of Fault Frees with Priority Dynamic Gates and Repeated Events", "type" : "article-journal", "volume" : "59" }, "uris" : [ "http://www.mendeley.com/documents/?uuid=88db96f9-d41e-456f-8347-07f4908b79e4" ] } ], "mendeley" : { "formattedCitation" : "(Merle, Roussel, Lesage, &amp; Bobbio, 2010)", "plainTextFormattedCitation" : "(Merle, Roussel, Lesage, &amp; Bobbio, 2010)", "previouslyFormattedCitation" : "(Merle, Roussel, Lesage, &amp; Bobbio, 2010)" }, "properties" : { "noteIndex" : 0 }, "schema" : "https://github.com/citation-style-language/schema/raw/master/csl-citation.json" }</w:instrText>
      </w:r>
      <w:r w:rsidR="002D4D82" w:rsidRPr="00240534">
        <w:rPr>
          <w:rFonts w:ascii="Calibri" w:hAnsi="Calibri" w:cs="Calibri"/>
        </w:rPr>
        <w:fldChar w:fldCharType="separate"/>
      </w:r>
      <w:r w:rsidR="00902E16" w:rsidRPr="00240534">
        <w:rPr>
          <w:rFonts w:ascii="Calibri" w:hAnsi="Calibri" w:cs="Calibri"/>
          <w:noProof/>
        </w:rPr>
        <w:t>(Merle et al.</w:t>
      </w:r>
      <w:r w:rsidR="00E1122C" w:rsidRPr="00240534">
        <w:rPr>
          <w:rFonts w:ascii="Calibri" w:hAnsi="Calibri" w:cs="Calibri"/>
          <w:noProof/>
        </w:rPr>
        <w:t>, 2010)</w:t>
      </w:r>
      <w:r w:rsidR="002D4D82" w:rsidRPr="00240534">
        <w:rPr>
          <w:rFonts w:ascii="Calibri" w:hAnsi="Calibri" w:cs="Calibri"/>
        </w:rPr>
        <w:fldChar w:fldCharType="end"/>
      </w:r>
      <w:r w:rsidR="003F4ADF" w:rsidRPr="00240534">
        <w:rPr>
          <w:rFonts w:ascii="Calibri" w:hAnsi="Calibri" w:cs="Calibri"/>
        </w:rPr>
        <w:t>. This has led to the creation of another gate called parameterised-SAND (</w:t>
      </w:r>
      <w:proofErr w:type="spellStart"/>
      <w:r w:rsidR="003F4ADF" w:rsidRPr="00240534">
        <w:rPr>
          <w:rFonts w:ascii="Calibri" w:hAnsi="Calibri" w:cs="Calibri"/>
        </w:rPr>
        <w:t>pSAND</w:t>
      </w:r>
      <w:proofErr w:type="spellEnd"/>
      <w:r w:rsidR="003F4ADF" w:rsidRPr="00240534">
        <w:rPr>
          <w:rFonts w:ascii="Calibri" w:hAnsi="Calibri" w:cs="Calibri"/>
        </w:rPr>
        <w:t xml:space="preserve">) </w:t>
      </w:r>
      <w:r w:rsidR="002D4D82" w:rsidRPr="00240534">
        <w:rPr>
          <w:rFonts w:ascii="Calibri" w:hAnsi="Calibri" w:cs="Calibri"/>
        </w:rPr>
        <w:fldChar w:fldCharType="begin" w:fldLock="1"/>
      </w:r>
      <w:r w:rsidR="00902E16" w:rsidRPr="00240534">
        <w:rPr>
          <w:rFonts w:ascii="Calibri" w:hAnsi="Calibri" w:cs="Calibri"/>
        </w:rPr>
        <w:instrText>ADDIN CSL_CITATION { "citationItems" : [ { "id" : "ITEM-1", "itemData" : { "DOI" : "10.1007/978-3-319-00945-2_13", "ISBN" : "9783319009445", "ISSN" : "21945357", "abstract" : "Fault Tree Analysis has been a cornerstone of safety-critical systems for many years. It has seen various extensions to enable it to analyse dynamic behaviours exhibited by modern systems with redundant components. However, none of these extended FTA approaches provide much support for modelling situations where events have to be \"nearly simultaneous\", i.e., where events must occur within a certain interval to cause a failure. Although one such extension, Pandora, is unique in providing a \"Simultaneous-AND\" gate, it does not allow such intervals to be represented. In this work, we extend the Simultaneous-AND gate to include a parameterized interval - referred to as pSAND - such that the output event occurs if the input events occur within a defined period of time. This work then derives an expression for the exact quantification of pSAND for exponentially distributed events and provides an approximation using Monte Carlo simulation which can be used for other distributions. \u00a9 Springer International Publishing Switzerland 2013.", "author" : [ { "dropping-particle" : "", "family" : "Edifor", "given" : "E.", "non-dropping-particle" : "", "parse-names" : false, "suffix" : "" }, { "dropping-particle" : "", "family" : "Walker", "given" : "M.", "non-dropping-particle" : "", "parse-names" : false, "suffix" : "" }, { "dropping-particle" : "", "family" : "Gordon", "given" : "N.", "non-dropping-particle" : "", "parse-names" : false, "suffix" : "" } ], "container-title" : "Advances in Intelligent Systems and Computing", "id" : "ITEM-1", "issued" : { "date-parts" : [ [ "2013" ] ] }, "title" : "Quantification of simultaneous-AND gates in temporal Fault Trees", "type" : "book", "volume" : "224" }, "uris" : [ "http://www.mendeley.com/documents/?uuid=197ef8f3-bc1e-3edb-a9de-3f271fbba9bf" ] } ], "mendeley" : { "formattedCitation" : "(E. Edifor, Walker, &amp; Gordon, 2013)", "manualFormatting" : "(Edifor et al., 2013)", "plainTextFormattedCitation" : "(E. Edifor, Walker, &amp; Gordon, 2013)", "previouslyFormattedCitation" : "(E. Edifor, Walker, &amp; Gordon, 2013)" }, "properties" : { "noteIndex" : 0 }, "schema" : "https://github.com/citation-style-language/schema/raw/master/csl-citation.json" }</w:instrText>
      </w:r>
      <w:r w:rsidR="002D4D82" w:rsidRPr="00240534">
        <w:rPr>
          <w:rFonts w:ascii="Calibri" w:hAnsi="Calibri" w:cs="Calibri"/>
        </w:rPr>
        <w:fldChar w:fldCharType="separate"/>
      </w:r>
      <w:r w:rsidR="00763308" w:rsidRPr="00240534">
        <w:rPr>
          <w:rFonts w:ascii="Calibri" w:hAnsi="Calibri" w:cs="Calibri"/>
          <w:noProof/>
        </w:rPr>
        <w:t>(Edifor</w:t>
      </w:r>
      <w:r w:rsidR="00902E16" w:rsidRPr="00240534">
        <w:rPr>
          <w:rFonts w:ascii="Calibri" w:hAnsi="Calibri" w:cs="Calibri"/>
          <w:noProof/>
        </w:rPr>
        <w:t xml:space="preserve"> et al.</w:t>
      </w:r>
      <w:r w:rsidR="00763308" w:rsidRPr="00240534">
        <w:rPr>
          <w:rFonts w:ascii="Calibri" w:hAnsi="Calibri" w:cs="Calibri"/>
          <w:noProof/>
        </w:rPr>
        <w:t>, 2013)</w:t>
      </w:r>
      <w:r w:rsidR="002D4D82" w:rsidRPr="00240534">
        <w:rPr>
          <w:rFonts w:ascii="Calibri" w:hAnsi="Calibri" w:cs="Calibri"/>
        </w:rPr>
        <w:fldChar w:fldCharType="end"/>
      </w:r>
      <w:r w:rsidR="003F4ADF" w:rsidRPr="00240534">
        <w:rPr>
          <w:rFonts w:ascii="Calibri" w:hAnsi="Calibri" w:cs="Calibri"/>
        </w:rPr>
        <w:t>.</w:t>
      </w:r>
      <w:r w:rsidR="005B61B1" w:rsidRPr="00240534">
        <w:rPr>
          <w:rFonts w:ascii="Calibri" w:hAnsi="Calibri" w:cs="Calibri"/>
        </w:rPr>
        <w:t xml:space="preserve"> </w:t>
      </w:r>
      <w:r w:rsidR="00AD6F65" w:rsidRPr="00240534">
        <w:rPr>
          <w:rFonts w:ascii="Calibri" w:hAnsi="Calibri" w:cs="Calibri"/>
        </w:rPr>
        <w:t xml:space="preserve">The </w:t>
      </w:r>
      <w:proofErr w:type="spellStart"/>
      <w:r w:rsidR="00AD6F65" w:rsidRPr="00240534">
        <w:rPr>
          <w:rFonts w:ascii="Calibri" w:hAnsi="Calibri" w:cs="Calibri"/>
        </w:rPr>
        <w:t>pSAND</w:t>
      </w:r>
      <w:proofErr w:type="spellEnd"/>
      <w:r w:rsidR="00AD6F65" w:rsidRPr="00240534">
        <w:rPr>
          <w:rFonts w:ascii="Calibri" w:hAnsi="Calibri" w:cs="Calibri"/>
        </w:rPr>
        <w:t xml:space="preserve"> gate represents the scenario where an event is </w:t>
      </w:r>
      <w:r w:rsidR="00F238E7" w:rsidRPr="00240534">
        <w:rPr>
          <w:rFonts w:ascii="Calibri" w:hAnsi="Calibri" w:cs="Calibri"/>
        </w:rPr>
        <w:t xml:space="preserve">triggered </w:t>
      </w:r>
      <w:r w:rsidR="00AD6F65" w:rsidRPr="00240534">
        <w:rPr>
          <w:rFonts w:ascii="Calibri" w:hAnsi="Calibri" w:cs="Calibri"/>
        </w:rPr>
        <w:t xml:space="preserve">when two or more events occur within a specific </w:t>
      </w:r>
      <w:r w:rsidR="004611BC" w:rsidRPr="00240534">
        <w:rPr>
          <w:rFonts w:ascii="Calibri" w:hAnsi="Calibri" w:cs="Calibri"/>
        </w:rPr>
        <w:t>period</w:t>
      </w:r>
      <w:r w:rsidR="00AD6F65" w:rsidRPr="00240534">
        <w:rPr>
          <w:rFonts w:ascii="Calibri" w:hAnsi="Calibri" w:cs="Calibri"/>
        </w:rPr>
        <w:t>.</w:t>
      </w:r>
      <w:r w:rsidR="00262708" w:rsidRPr="00240534">
        <w:rPr>
          <w:rFonts w:ascii="Calibri" w:hAnsi="Calibri" w:cs="Calibri"/>
        </w:rPr>
        <w:t xml:space="preserve"> </w:t>
      </w:r>
      <w:proofErr w:type="spellStart"/>
      <w:proofErr w:type="gramStart"/>
      <w:r w:rsidR="00262708" w:rsidRPr="00240534">
        <w:rPr>
          <w:rFonts w:ascii="Calibri" w:hAnsi="Calibri" w:cs="Calibri"/>
        </w:rPr>
        <w:t>pSAND</w:t>
      </w:r>
      <w:proofErr w:type="spellEnd"/>
      <w:proofErr w:type="gramEnd"/>
      <w:r w:rsidR="00262708" w:rsidRPr="00240534">
        <w:rPr>
          <w:rFonts w:ascii="Calibri" w:hAnsi="Calibri" w:cs="Calibri"/>
        </w:rPr>
        <w:t xml:space="preserve"> is represented in </w:t>
      </w:r>
      <w:r w:rsidR="00553FF7" w:rsidRPr="00240534">
        <w:rPr>
          <w:rFonts w:ascii="Calibri" w:hAnsi="Calibri" w:cs="Calibri"/>
        </w:rPr>
        <w:t>Figure 2</w:t>
      </w:r>
      <w:r w:rsidR="00262708" w:rsidRPr="00240534">
        <w:rPr>
          <w:rFonts w:ascii="Calibri" w:hAnsi="Calibri" w:cs="Calibri"/>
        </w:rPr>
        <w:t xml:space="preserve">f; </w:t>
      </w:r>
      <w:r w:rsidR="00262708" w:rsidRPr="00240534">
        <w:rPr>
          <w:rFonts w:ascii="Calibri" w:hAnsi="Calibri" w:cs="Calibri"/>
          <w:i/>
        </w:rPr>
        <w:t>Q</w:t>
      </w:r>
      <w:r w:rsidR="00262708" w:rsidRPr="00240534">
        <w:rPr>
          <w:rFonts w:ascii="Calibri" w:hAnsi="Calibri" w:cs="Calibri"/>
        </w:rPr>
        <w:t xml:space="preserve"> </w:t>
      </w:r>
      <w:r w:rsidR="00F238E7" w:rsidRPr="00240534">
        <w:rPr>
          <w:rFonts w:ascii="Calibri" w:hAnsi="Calibri" w:cs="Calibri"/>
        </w:rPr>
        <w:t xml:space="preserve">happens </w:t>
      </w:r>
      <w:r w:rsidR="00262708" w:rsidRPr="00240534">
        <w:rPr>
          <w:rFonts w:ascii="Calibri" w:hAnsi="Calibri" w:cs="Calibri"/>
        </w:rPr>
        <w:t xml:space="preserve">when </w:t>
      </w:r>
      <w:r w:rsidR="00262708" w:rsidRPr="00240534">
        <w:rPr>
          <w:rFonts w:ascii="Calibri" w:hAnsi="Calibri" w:cs="Calibri"/>
          <w:i/>
        </w:rPr>
        <w:t>A</w:t>
      </w:r>
      <w:r w:rsidR="00262708" w:rsidRPr="00240534">
        <w:rPr>
          <w:rFonts w:ascii="Calibri" w:hAnsi="Calibri" w:cs="Calibri"/>
        </w:rPr>
        <w:t xml:space="preserve"> and </w:t>
      </w:r>
      <w:r w:rsidR="00262708" w:rsidRPr="00240534">
        <w:rPr>
          <w:rFonts w:ascii="Calibri" w:hAnsi="Calibri" w:cs="Calibri"/>
          <w:i/>
        </w:rPr>
        <w:t>B</w:t>
      </w:r>
      <w:r w:rsidR="00262708" w:rsidRPr="00240534">
        <w:rPr>
          <w:rFonts w:ascii="Calibri" w:hAnsi="Calibri" w:cs="Calibri"/>
        </w:rPr>
        <w:t xml:space="preserve"> occur within a specific time frame.</w:t>
      </w:r>
      <w:r w:rsidR="00050CC6" w:rsidRPr="00240534">
        <w:rPr>
          <w:rFonts w:ascii="Calibri" w:hAnsi="Calibri" w:cs="Calibri"/>
        </w:rPr>
        <w:t xml:space="preserve"> </w:t>
      </w:r>
      <w:r w:rsidR="00CA445F" w:rsidRPr="00240534">
        <w:rPr>
          <w:rFonts w:ascii="Calibri" w:hAnsi="Calibri" w:cs="Calibri"/>
        </w:rPr>
        <w:t>The time frame is represented by a “</w:t>
      </w:r>
      <w:r w:rsidR="00CA445F" w:rsidRPr="00240534">
        <w:rPr>
          <w:rFonts w:ascii="Calibri" w:hAnsi="Calibri" w:cs="Calibri"/>
          <w:i/>
        </w:rPr>
        <w:t>d</w:t>
      </w:r>
      <w:r w:rsidR="00CA445F" w:rsidRPr="00240534">
        <w:rPr>
          <w:rFonts w:ascii="Calibri" w:hAnsi="Calibri" w:cs="Calibri"/>
        </w:rPr>
        <w:t xml:space="preserve">” in the diagram; e.g. </w:t>
      </w:r>
      <w:r w:rsidR="00CA445F" w:rsidRPr="00240534">
        <w:rPr>
          <w:rFonts w:ascii="Calibri" w:hAnsi="Calibri" w:cs="Calibri"/>
          <w:i/>
        </w:rPr>
        <w:t>d</w:t>
      </w:r>
      <w:r w:rsidR="00857FDA" w:rsidRPr="00240534">
        <w:rPr>
          <w:rFonts w:ascii="Calibri" w:hAnsi="Calibri" w:cs="Calibri"/>
          <w:i/>
        </w:rPr>
        <w:t>&gt;</w:t>
      </w:r>
      <w:r w:rsidR="00CA445F" w:rsidRPr="00240534">
        <w:rPr>
          <w:rFonts w:ascii="Calibri" w:hAnsi="Calibri" w:cs="Calibri"/>
          <w:i/>
        </w:rPr>
        <w:t>0.1</w:t>
      </w:r>
      <w:r w:rsidR="00CA445F" w:rsidRPr="00240534">
        <w:rPr>
          <w:rFonts w:ascii="Calibri" w:hAnsi="Calibri" w:cs="Calibri"/>
        </w:rPr>
        <w:t xml:space="preserve"> means the duration between the events is 0.1 (days, hours, minutes, </w:t>
      </w:r>
      <w:r w:rsidR="00CA445F" w:rsidRPr="00240534">
        <w:rPr>
          <w:rFonts w:ascii="Calibri" w:hAnsi="Calibri" w:cs="Calibri"/>
        </w:rPr>
        <w:lastRenderedPageBreak/>
        <w:t>seconds etc</w:t>
      </w:r>
      <w:r w:rsidR="00386E1D" w:rsidRPr="00240534">
        <w:rPr>
          <w:rFonts w:ascii="Calibri" w:hAnsi="Calibri" w:cs="Calibri"/>
        </w:rPr>
        <w:t>.</w:t>
      </w:r>
      <w:r w:rsidR="00CA445F" w:rsidRPr="00240534">
        <w:rPr>
          <w:rFonts w:ascii="Calibri" w:hAnsi="Calibri" w:cs="Calibri"/>
        </w:rPr>
        <w:t xml:space="preserve">) </w:t>
      </w:r>
      <w:r w:rsidR="00E92C5D" w:rsidRPr="00240534">
        <w:rPr>
          <w:rFonts w:ascii="Calibri" w:hAnsi="Calibri" w:cs="Calibri"/>
        </w:rPr>
        <w:t xml:space="preserve">Suppose a fruit juice business uses two products apple and mango to produce three juices – apple, mango and apple and mango juice. Both products are distinctly sourced from two suppliers </w:t>
      </w:r>
      <w:r w:rsidR="00E92C5D" w:rsidRPr="00240534">
        <w:rPr>
          <w:rFonts w:ascii="Calibri" w:hAnsi="Calibri" w:cs="Calibri"/>
          <w:i/>
        </w:rPr>
        <w:t>S1</w:t>
      </w:r>
      <w:r w:rsidR="00E92C5D" w:rsidRPr="00240534">
        <w:rPr>
          <w:rFonts w:ascii="Calibri" w:hAnsi="Calibri" w:cs="Calibri"/>
        </w:rPr>
        <w:t xml:space="preserve"> and </w:t>
      </w:r>
      <w:r w:rsidR="00E92C5D" w:rsidRPr="00240534">
        <w:rPr>
          <w:rFonts w:ascii="Calibri" w:hAnsi="Calibri" w:cs="Calibri"/>
          <w:i/>
        </w:rPr>
        <w:t>S2</w:t>
      </w:r>
      <w:r w:rsidR="00E92C5D" w:rsidRPr="00240534">
        <w:rPr>
          <w:rFonts w:ascii="Calibri" w:hAnsi="Calibri" w:cs="Calibri"/>
        </w:rPr>
        <w:t xml:space="preserve"> respectively.</w:t>
      </w:r>
      <w:r w:rsidR="000E35E6" w:rsidRPr="00240534">
        <w:rPr>
          <w:rFonts w:ascii="Calibri" w:hAnsi="Calibri" w:cs="Calibri"/>
        </w:rPr>
        <w:t xml:space="preserve"> </w:t>
      </w:r>
      <w:r w:rsidR="00763308" w:rsidRPr="00240534">
        <w:rPr>
          <w:rFonts w:ascii="Calibri" w:hAnsi="Calibri" w:cs="Calibri"/>
        </w:rPr>
        <w:t>Assume b</w:t>
      </w:r>
      <w:r w:rsidR="000E35E6" w:rsidRPr="00240534">
        <w:rPr>
          <w:rFonts w:ascii="Calibri" w:hAnsi="Calibri" w:cs="Calibri"/>
        </w:rPr>
        <w:t xml:space="preserve">oth products are required to produce the apple and mango juice, the failure of </w:t>
      </w:r>
      <w:r w:rsidR="000E35E6" w:rsidRPr="00240534">
        <w:rPr>
          <w:rFonts w:ascii="Calibri" w:hAnsi="Calibri" w:cs="Calibri"/>
          <w:i/>
        </w:rPr>
        <w:t>S1</w:t>
      </w:r>
      <w:r w:rsidR="000E35E6" w:rsidRPr="00240534">
        <w:rPr>
          <w:rFonts w:ascii="Calibri" w:hAnsi="Calibri" w:cs="Calibri"/>
        </w:rPr>
        <w:t xml:space="preserve"> and </w:t>
      </w:r>
      <w:r w:rsidR="000E35E6" w:rsidRPr="00240534">
        <w:rPr>
          <w:rFonts w:ascii="Calibri" w:hAnsi="Calibri" w:cs="Calibri"/>
          <w:i/>
        </w:rPr>
        <w:t>S2</w:t>
      </w:r>
      <w:r w:rsidR="000E35E6" w:rsidRPr="00240534">
        <w:rPr>
          <w:rFonts w:ascii="Calibri" w:hAnsi="Calibri" w:cs="Calibri"/>
        </w:rPr>
        <w:t xml:space="preserve"> to supply within 2 days will lead to no production.</w:t>
      </w:r>
      <w:r w:rsidR="00856433" w:rsidRPr="00240534">
        <w:rPr>
          <w:rFonts w:ascii="Calibri" w:hAnsi="Calibri" w:cs="Calibri"/>
        </w:rPr>
        <w:t xml:space="preserve"> After 2 days, arrangements are </w:t>
      </w:r>
      <w:r w:rsidR="000E35E6" w:rsidRPr="00240534">
        <w:rPr>
          <w:rFonts w:ascii="Calibri" w:hAnsi="Calibri" w:cs="Calibri"/>
        </w:rPr>
        <w:t xml:space="preserve">made for supply from other companies. </w:t>
      </w:r>
      <w:r w:rsidR="006E0853" w:rsidRPr="00240534">
        <w:rPr>
          <w:rFonts w:ascii="Calibri" w:hAnsi="Calibri" w:cs="Calibri"/>
        </w:rPr>
        <w:t xml:space="preserve">With this scenario, there will be no production of apple and mango juice when both </w:t>
      </w:r>
      <w:r w:rsidR="006E0853" w:rsidRPr="00240534">
        <w:rPr>
          <w:rFonts w:ascii="Calibri" w:hAnsi="Calibri" w:cs="Calibri"/>
          <w:i/>
        </w:rPr>
        <w:t>S1</w:t>
      </w:r>
      <w:r w:rsidR="006E0853" w:rsidRPr="00240534">
        <w:rPr>
          <w:rFonts w:ascii="Calibri" w:hAnsi="Calibri" w:cs="Calibri"/>
        </w:rPr>
        <w:t xml:space="preserve"> and </w:t>
      </w:r>
      <w:r w:rsidR="006E0853" w:rsidRPr="00240534">
        <w:rPr>
          <w:rFonts w:ascii="Calibri" w:hAnsi="Calibri" w:cs="Calibri"/>
          <w:i/>
        </w:rPr>
        <w:t>S2</w:t>
      </w:r>
      <w:r w:rsidR="006E0853" w:rsidRPr="00240534">
        <w:rPr>
          <w:rFonts w:ascii="Calibri" w:hAnsi="Calibri" w:cs="Calibri"/>
        </w:rPr>
        <w:t xml:space="preserve"> fail within 2 days – i.e. </w:t>
      </w:r>
      <w:r w:rsidR="006E0853" w:rsidRPr="00240534">
        <w:rPr>
          <w:rFonts w:ascii="Calibri" w:hAnsi="Calibri" w:cs="Calibri"/>
          <w:i/>
        </w:rPr>
        <w:t>S1</w:t>
      </w:r>
      <w:r w:rsidR="006E0853" w:rsidRPr="00240534">
        <w:rPr>
          <w:rFonts w:ascii="Calibri" w:hAnsi="Calibri" w:cs="Calibri"/>
        </w:rPr>
        <w:t xml:space="preserve"> </w:t>
      </w:r>
      <w:proofErr w:type="spellStart"/>
      <w:r w:rsidR="00B92266" w:rsidRPr="00240534">
        <w:rPr>
          <w:rFonts w:ascii="Calibri" w:hAnsi="Calibri" w:cs="Calibri"/>
        </w:rPr>
        <w:t>pSAND</w:t>
      </w:r>
      <w:proofErr w:type="spellEnd"/>
      <w:r w:rsidR="006E0853" w:rsidRPr="00240534">
        <w:rPr>
          <w:rFonts w:ascii="Calibri" w:hAnsi="Calibri" w:cs="Calibri"/>
        </w:rPr>
        <w:t xml:space="preserve"> </w:t>
      </w:r>
      <w:r w:rsidR="006E0853" w:rsidRPr="00240534">
        <w:rPr>
          <w:rFonts w:ascii="Calibri" w:hAnsi="Calibri" w:cs="Calibri"/>
          <w:i/>
        </w:rPr>
        <w:t>S2</w:t>
      </w:r>
      <w:r w:rsidR="006E0853" w:rsidRPr="00240534">
        <w:rPr>
          <w:rFonts w:ascii="Calibri" w:hAnsi="Calibri" w:cs="Calibri"/>
        </w:rPr>
        <w:t>.</w:t>
      </w:r>
    </w:p>
    <w:p w:rsidR="00431B0E" w:rsidRPr="00240534" w:rsidRDefault="00431B0E" w:rsidP="00240534">
      <w:pPr>
        <w:spacing w:line="240" w:lineRule="auto"/>
        <w:jc w:val="both"/>
        <w:rPr>
          <w:rFonts w:ascii="Calibri" w:hAnsi="Calibri" w:cs="Calibri"/>
        </w:rPr>
      </w:pPr>
    </w:p>
    <w:p w:rsidR="006D30EA" w:rsidRPr="00240534" w:rsidRDefault="006E0853" w:rsidP="00240534">
      <w:pPr>
        <w:spacing w:line="240" w:lineRule="auto"/>
        <w:jc w:val="both"/>
        <w:rPr>
          <w:rFonts w:ascii="Calibri" w:hAnsi="Calibri" w:cs="Calibri"/>
        </w:rPr>
      </w:pPr>
      <w:r w:rsidRPr="00240534">
        <w:rPr>
          <w:rFonts w:ascii="Calibri" w:hAnsi="Calibri" w:cs="Calibri"/>
        </w:rPr>
        <w:t>A logical expression can be derived from the fault tree by using the following symbols ‘.’, ‘+’, ‘&lt;’, ‘|’, ‘&amp;’ and ‘&amp;</w:t>
      </w:r>
      <w:r w:rsidRPr="00240534">
        <w:rPr>
          <w:rFonts w:ascii="Calibri" w:hAnsi="Calibri" w:cs="Calibri"/>
          <w:vertAlign w:val="subscript"/>
        </w:rPr>
        <w:t>d</w:t>
      </w:r>
      <w:r w:rsidRPr="00240534">
        <w:rPr>
          <w:rFonts w:ascii="Calibri" w:hAnsi="Calibri" w:cs="Calibri"/>
        </w:rPr>
        <w:t xml:space="preserve">’ for AND, OR, PAND, POR, SAND and </w:t>
      </w:r>
      <w:proofErr w:type="spellStart"/>
      <w:r w:rsidRPr="00240534">
        <w:rPr>
          <w:rFonts w:ascii="Calibri" w:hAnsi="Calibri" w:cs="Calibri"/>
        </w:rPr>
        <w:t>pSAND</w:t>
      </w:r>
      <w:proofErr w:type="spellEnd"/>
      <w:r w:rsidRPr="00240534">
        <w:rPr>
          <w:rFonts w:ascii="Calibri" w:hAnsi="Calibri" w:cs="Calibri"/>
        </w:rPr>
        <w:t xml:space="preserve"> respectively.</w:t>
      </w:r>
      <w:r w:rsidR="00856433" w:rsidRPr="00240534">
        <w:rPr>
          <w:rFonts w:ascii="Calibri" w:hAnsi="Calibri" w:cs="Calibri"/>
        </w:rPr>
        <w:t xml:space="preserve"> Meaning, </w:t>
      </w:r>
      <w:r w:rsidR="00856433" w:rsidRPr="00240534">
        <w:rPr>
          <w:rFonts w:ascii="Calibri" w:hAnsi="Calibri" w:cs="Calibri"/>
          <w:i/>
        </w:rPr>
        <w:t>A</w:t>
      </w:r>
      <w:r w:rsidR="00856433" w:rsidRPr="00240534">
        <w:rPr>
          <w:rFonts w:ascii="Calibri" w:hAnsi="Calibri" w:cs="Calibri"/>
        </w:rPr>
        <w:t xml:space="preserve"> AND </w:t>
      </w:r>
      <w:r w:rsidR="00856433" w:rsidRPr="00240534">
        <w:rPr>
          <w:rFonts w:ascii="Calibri" w:hAnsi="Calibri" w:cs="Calibri"/>
          <w:i/>
        </w:rPr>
        <w:t>B</w:t>
      </w:r>
      <w:r w:rsidR="00856433" w:rsidRPr="00240534">
        <w:rPr>
          <w:rFonts w:ascii="Calibri" w:hAnsi="Calibri" w:cs="Calibri"/>
        </w:rPr>
        <w:t xml:space="preserve"> can be represented as </w:t>
      </w:r>
      <w:r w:rsidR="00856433" w:rsidRPr="00240534">
        <w:rPr>
          <w:rFonts w:ascii="Calibri" w:hAnsi="Calibri" w:cs="Calibri"/>
          <w:i/>
        </w:rPr>
        <w:t>A</w:t>
      </w:r>
      <w:r w:rsidR="00856433" w:rsidRPr="00240534">
        <w:rPr>
          <w:rFonts w:ascii="Calibri" w:hAnsi="Calibri" w:cs="Calibri"/>
        </w:rPr>
        <w:t>.</w:t>
      </w:r>
      <w:r w:rsidR="00856433" w:rsidRPr="00240534">
        <w:rPr>
          <w:rFonts w:ascii="Calibri" w:hAnsi="Calibri" w:cs="Calibri"/>
          <w:i/>
        </w:rPr>
        <w:t>B</w:t>
      </w:r>
      <w:r w:rsidR="00856433" w:rsidRPr="00240534">
        <w:rPr>
          <w:rFonts w:ascii="Calibri" w:hAnsi="Calibri" w:cs="Calibri"/>
        </w:rPr>
        <w:t xml:space="preserve">, </w:t>
      </w:r>
      <w:r w:rsidR="00856433" w:rsidRPr="00240534">
        <w:rPr>
          <w:rFonts w:ascii="Calibri" w:hAnsi="Calibri" w:cs="Calibri"/>
          <w:i/>
        </w:rPr>
        <w:t>A</w:t>
      </w:r>
      <w:r w:rsidR="00856433" w:rsidRPr="00240534">
        <w:rPr>
          <w:rFonts w:ascii="Calibri" w:hAnsi="Calibri" w:cs="Calibri"/>
        </w:rPr>
        <w:t xml:space="preserve"> POR </w:t>
      </w:r>
      <w:r w:rsidR="00856433" w:rsidRPr="00240534">
        <w:rPr>
          <w:rFonts w:ascii="Calibri" w:hAnsi="Calibri" w:cs="Calibri"/>
          <w:i/>
        </w:rPr>
        <w:t>B</w:t>
      </w:r>
      <w:r w:rsidR="00856433" w:rsidRPr="00240534">
        <w:rPr>
          <w:rFonts w:ascii="Calibri" w:hAnsi="Calibri" w:cs="Calibri"/>
        </w:rPr>
        <w:t xml:space="preserve"> as </w:t>
      </w:r>
      <w:r w:rsidR="00856433" w:rsidRPr="00240534">
        <w:rPr>
          <w:rFonts w:ascii="Calibri" w:hAnsi="Calibri" w:cs="Calibri"/>
          <w:i/>
        </w:rPr>
        <w:t>A</w:t>
      </w:r>
      <w:r w:rsidR="00856433" w:rsidRPr="00240534">
        <w:rPr>
          <w:rFonts w:ascii="Calibri" w:hAnsi="Calibri" w:cs="Calibri"/>
        </w:rPr>
        <w:t>|</w:t>
      </w:r>
      <w:r w:rsidR="00856433" w:rsidRPr="00240534">
        <w:rPr>
          <w:rFonts w:ascii="Calibri" w:hAnsi="Calibri" w:cs="Calibri"/>
          <w:i/>
        </w:rPr>
        <w:t>B</w:t>
      </w:r>
      <w:r w:rsidR="00856433" w:rsidRPr="00240534">
        <w:rPr>
          <w:rFonts w:ascii="Calibri" w:hAnsi="Calibri" w:cs="Calibri"/>
        </w:rPr>
        <w:t xml:space="preserve"> and </w:t>
      </w:r>
      <w:r w:rsidR="00856433" w:rsidRPr="00240534">
        <w:rPr>
          <w:rFonts w:ascii="Calibri" w:hAnsi="Calibri" w:cs="Calibri"/>
          <w:i/>
        </w:rPr>
        <w:t>A</w:t>
      </w:r>
      <w:r w:rsidR="00856433" w:rsidRPr="00240534">
        <w:rPr>
          <w:rFonts w:ascii="Calibri" w:hAnsi="Calibri" w:cs="Calibri"/>
        </w:rPr>
        <w:t xml:space="preserve"> </w:t>
      </w:r>
      <w:proofErr w:type="spellStart"/>
      <w:r w:rsidR="00856433" w:rsidRPr="00240534">
        <w:rPr>
          <w:rFonts w:ascii="Calibri" w:hAnsi="Calibri" w:cs="Calibri"/>
        </w:rPr>
        <w:t>pSAND</w:t>
      </w:r>
      <w:proofErr w:type="spellEnd"/>
      <w:r w:rsidR="00856433" w:rsidRPr="00240534">
        <w:rPr>
          <w:rFonts w:ascii="Calibri" w:hAnsi="Calibri" w:cs="Calibri"/>
        </w:rPr>
        <w:t xml:space="preserve"> </w:t>
      </w:r>
      <w:r w:rsidR="00856433" w:rsidRPr="00240534">
        <w:rPr>
          <w:rFonts w:ascii="Calibri" w:hAnsi="Calibri" w:cs="Calibri"/>
          <w:i/>
        </w:rPr>
        <w:t>B</w:t>
      </w:r>
      <w:r w:rsidR="00856433" w:rsidRPr="00240534">
        <w:rPr>
          <w:rFonts w:ascii="Calibri" w:hAnsi="Calibri" w:cs="Calibri"/>
        </w:rPr>
        <w:t xml:space="preserve"> as</w:t>
      </w:r>
      <w:r w:rsidR="00431B0E" w:rsidRPr="00240534">
        <w:rPr>
          <w:rFonts w:ascii="Calibri" w:hAnsi="Calibri" w:cs="Calibri"/>
        </w:rPr>
        <w:t xml:space="preserve"> </w:t>
      </w:r>
      <w:r w:rsidR="00856433" w:rsidRPr="00240534">
        <w:rPr>
          <w:rFonts w:ascii="Calibri" w:hAnsi="Calibri" w:cs="Calibri"/>
          <w:i/>
        </w:rPr>
        <w:t>A</w:t>
      </w:r>
      <w:r w:rsidR="00856433" w:rsidRPr="00240534">
        <w:rPr>
          <w:rFonts w:ascii="Calibri" w:hAnsi="Calibri" w:cs="Calibri"/>
        </w:rPr>
        <w:t xml:space="preserve"> &amp;</w:t>
      </w:r>
      <w:r w:rsidR="00856433" w:rsidRPr="00240534">
        <w:rPr>
          <w:rFonts w:ascii="Calibri" w:hAnsi="Calibri" w:cs="Calibri"/>
          <w:vertAlign w:val="subscript"/>
        </w:rPr>
        <w:t xml:space="preserve">d </w:t>
      </w:r>
      <w:r w:rsidR="00856433" w:rsidRPr="00240534">
        <w:rPr>
          <w:rFonts w:ascii="Calibri" w:hAnsi="Calibri" w:cs="Calibri"/>
          <w:i/>
        </w:rPr>
        <w:t>B,</w:t>
      </w:r>
      <w:r w:rsidR="00856433" w:rsidRPr="00240534">
        <w:rPr>
          <w:rFonts w:ascii="Calibri" w:hAnsi="Calibri" w:cs="Calibri"/>
        </w:rPr>
        <w:t xml:space="preserve"> where “d” is the duration between </w:t>
      </w:r>
      <w:r w:rsidR="00856433" w:rsidRPr="00240534">
        <w:rPr>
          <w:rFonts w:ascii="Calibri" w:hAnsi="Calibri" w:cs="Calibri"/>
          <w:i/>
        </w:rPr>
        <w:t>A</w:t>
      </w:r>
      <w:r w:rsidR="00856433" w:rsidRPr="00240534">
        <w:rPr>
          <w:rFonts w:ascii="Calibri" w:hAnsi="Calibri" w:cs="Calibri"/>
        </w:rPr>
        <w:t xml:space="preserve"> and </w:t>
      </w:r>
      <w:r w:rsidR="00856433" w:rsidRPr="00240534">
        <w:rPr>
          <w:rFonts w:ascii="Calibri" w:hAnsi="Calibri" w:cs="Calibri"/>
          <w:i/>
        </w:rPr>
        <w:t>B</w:t>
      </w:r>
      <w:r w:rsidR="00856433" w:rsidRPr="00240534">
        <w:rPr>
          <w:rFonts w:ascii="Calibri" w:hAnsi="Calibri" w:cs="Calibri"/>
        </w:rPr>
        <w:t xml:space="preserve">. </w:t>
      </w:r>
      <w:r w:rsidR="006D30EA" w:rsidRPr="00240534">
        <w:rPr>
          <w:rFonts w:ascii="Calibri" w:hAnsi="Calibri" w:cs="Calibri"/>
        </w:rPr>
        <w:t>Before constructing a fault tree, a top-event (</w:t>
      </w:r>
      <w:r w:rsidR="00A004CD" w:rsidRPr="00240534">
        <w:rPr>
          <w:rFonts w:ascii="Calibri" w:hAnsi="Calibri" w:cs="Calibri"/>
        </w:rPr>
        <w:t xml:space="preserve">i.e. </w:t>
      </w:r>
      <w:r w:rsidR="006D30EA" w:rsidRPr="00240534">
        <w:rPr>
          <w:rFonts w:ascii="Calibri" w:hAnsi="Calibri" w:cs="Calibri"/>
        </w:rPr>
        <w:t>system failure) must be identified. This could be supply disruption</w:t>
      </w:r>
      <w:r w:rsidR="00A004CD" w:rsidRPr="00240534">
        <w:rPr>
          <w:rFonts w:ascii="Calibri" w:hAnsi="Calibri" w:cs="Calibri"/>
        </w:rPr>
        <w:t xml:space="preserve"> of an item</w:t>
      </w:r>
      <w:r w:rsidR="006D30EA" w:rsidRPr="00240534">
        <w:rPr>
          <w:rFonts w:ascii="Calibri" w:hAnsi="Calibri" w:cs="Calibri"/>
        </w:rPr>
        <w:t>, failure in order fulfilment etc. Once the top event has been identified, the direct sub-system failures that triggers the top-event must be identified.</w:t>
      </w:r>
      <w:r w:rsidR="00BB6146" w:rsidRPr="00240534">
        <w:rPr>
          <w:rFonts w:ascii="Calibri" w:hAnsi="Calibri" w:cs="Calibri"/>
        </w:rPr>
        <w:t xml:space="preserve"> </w:t>
      </w:r>
      <w:r w:rsidR="00856433" w:rsidRPr="00240534">
        <w:rPr>
          <w:rFonts w:ascii="Calibri" w:hAnsi="Calibri" w:cs="Calibri"/>
        </w:rPr>
        <w:t>The</w:t>
      </w:r>
      <w:r w:rsidR="006D30EA" w:rsidRPr="00240534">
        <w:rPr>
          <w:rFonts w:ascii="Calibri" w:hAnsi="Calibri" w:cs="Calibri"/>
        </w:rPr>
        <w:t xml:space="preserve"> sub-system failures </w:t>
      </w:r>
      <w:r w:rsidR="008D0EA2" w:rsidRPr="00240534">
        <w:rPr>
          <w:rFonts w:ascii="Calibri" w:hAnsi="Calibri" w:cs="Calibri"/>
        </w:rPr>
        <w:t xml:space="preserve">can be decomposed by identifying their failures, </w:t>
      </w:r>
      <w:r w:rsidR="006D30EA" w:rsidRPr="00240534">
        <w:rPr>
          <w:rFonts w:ascii="Calibri" w:hAnsi="Calibri" w:cs="Calibri"/>
        </w:rPr>
        <w:t>propagate downwards until all the ending nodes in the fault tree are basic failures (known as basic events).</w:t>
      </w:r>
      <w:r w:rsidR="00C43AF3" w:rsidRPr="00240534">
        <w:rPr>
          <w:rFonts w:ascii="Calibri" w:hAnsi="Calibri" w:cs="Calibri"/>
        </w:rPr>
        <w:t xml:space="preserve"> Events that are not basic events or top-events are usually the intermediate events.</w:t>
      </w:r>
      <w:r w:rsidR="00F60792" w:rsidRPr="00240534">
        <w:rPr>
          <w:rFonts w:ascii="Calibri" w:hAnsi="Calibri" w:cs="Calibri"/>
        </w:rPr>
        <w:t xml:space="preserve"> </w:t>
      </w:r>
      <w:r w:rsidR="0019635B" w:rsidRPr="00240534">
        <w:rPr>
          <w:rFonts w:ascii="Calibri" w:hAnsi="Calibri" w:cs="Calibri"/>
        </w:rPr>
        <w:t>The basic rules for constructing a fault tree are provided in</w:t>
      </w:r>
      <w:r w:rsidR="00F60792" w:rsidRPr="00240534">
        <w:rPr>
          <w:rFonts w:ascii="Calibri" w:hAnsi="Calibri" w:cs="Calibri"/>
        </w:rPr>
        <w:t xml:space="preserve"> </w:t>
      </w:r>
      <w:r w:rsidR="002D4D82" w:rsidRPr="00240534">
        <w:rPr>
          <w:rFonts w:ascii="Calibri" w:hAnsi="Calibri" w:cs="Calibri"/>
        </w:rPr>
        <w:fldChar w:fldCharType="begin" w:fldLock="1"/>
      </w:r>
      <w:r w:rsidR="00215EF9" w:rsidRPr="00240534">
        <w:rPr>
          <w:rFonts w:ascii="Calibri" w:hAnsi="Calibri" w:cs="Calibri"/>
        </w:rPr>
        <w:instrText>ADDIN CSL_CITATION { "citationItems" : [ { "id" : "ITEM-1", "itemData" : { "author" : [ { "dropping-particle" : "", "family" : "Vesely", "given" : "W E", "non-dropping-particle" : "", "parse-names" : false, "suffix" : "" }, { "dropping-particle" : "", "family" : "Stamatelatos", "given" : "M", "non-dropping-particle" : "", "parse-names" : false, "suffix" : "" }, { "dropping-particle" : "", "family" : "Dugan", "given" : "J B", "non-dropping-particle" : "", "parse-names" : false, "suffix" : "" }, { "dropping-particle" : "", "family" : "Fragola", "given" : "J", "non-dropping-particle" : "", "parse-names" : false, "suffix" : "" }, { "dropping-particle" : "", "family" : "Minarick", "given" : "J", "non-dropping-particle" : "", "parse-names" : false, "suffix" : "" }, { "dropping-particle" : "", "family" : "Railsback", "given" : "J", "non-dropping-particle" : "", "parse-names" : false, "suffix" : "" } ], "id" : "ITEM-1", "issued" : { "date-parts" : [ [ "2002" ] ] }, "publisher" : "NASA Office of Safety and Mission Assurance", "publisher-place" : "Washington DC", "title" : "Fault Tree Handbook with Aerospace Applications", "type" : "book" }, "uris" : [ "http://www.mendeley.com/documents/?uuid=c3e7e4e7-79a2-4417-8181-13985b38ac77" ] } ], "mendeley" : { "formattedCitation" : "(Vesely et al., 2002)", "plainTextFormattedCitation" : "(Vesely et al., 2002)", "previouslyFormattedCitation" : "(Vesely et al., 2002)" }, "properties" : { "noteIndex" : 0 }, "schema" : "https://github.com/citation-style-language/schema/raw/master/csl-citation.json" }</w:instrText>
      </w:r>
      <w:r w:rsidR="002D4D82" w:rsidRPr="00240534">
        <w:rPr>
          <w:rFonts w:ascii="Calibri" w:hAnsi="Calibri" w:cs="Calibri"/>
        </w:rPr>
        <w:fldChar w:fldCharType="separate"/>
      </w:r>
      <w:r w:rsidR="00215EF9" w:rsidRPr="00240534">
        <w:rPr>
          <w:rFonts w:ascii="Calibri" w:hAnsi="Calibri" w:cs="Calibri"/>
          <w:noProof/>
        </w:rPr>
        <w:t>(Vesely et al., 2002)</w:t>
      </w:r>
      <w:r w:rsidR="002D4D82" w:rsidRPr="00240534">
        <w:rPr>
          <w:rFonts w:ascii="Calibri" w:hAnsi="Calibri" w:cs="Calibri"/>
        </w:rPr>
        <w:fldChar w:fldCharType="end"/>
      </w:r>
      <w:r w:rsidR="00F60792" w:rsidRPr="00240534">
        <w:rPr>
          <w:rFonts w:ascii="Calibri" w:hAnsi="Calibri" w:cs="Calibri"/>
        </w:rPr>
        <w:t>.</w:t>
      </w:r>
      <w:r w:rsidR="00856433" w:rsidRPr="00240534">
        <w:rPr>
          <w:rFonts w:ascii="Calibri" w:hAnsi="Calibri" w:cs="Calibri"/>
        </w:rPr>
        <w:t xml:space="preserve"> </w:t>
      </w:r>
    </w:p>
    <w:p w:rsidR="00C43AF3" w:rsidRPr="00240534" w:rsidRDefault="00C43AF3" w:rsidP="00240534">
      <w:pPr>
        <w:spacing w:line="240" w:lineRule="auto"/>
        <w:jc w:val="both"/>
        <w:rPr>
          <w:rFonts w:ascii="Calibri" w:hAnsi="Calibri" w:cs="Calibri"/>
        </w:rPr>
      </w:pPr>
    </w:p>
    <w:p w:rsidR="00FE70DC" w:rsidRPr="00240534" w:rsidRDefault="00CA7535" w:rsidP="00240534">
      <w:pPr>
        <w:spacing w:line="240" w:lineRule="auto"/>
        <w:jc w:val="both"/>
        <w:rPr>
          <w:rFonts w:ascii="Calibri" w:hAnsi="Calibri" w:cs="Calibri"/>
        </w:rPr>
      </w:pPr>
      <w:r w:rsidRPr="00240534">
        <w:rPr>
          <w:rFonts w:ascii="Calibri" w:hAnsi="Calibri" w:cs="Calibri"/>
        </w:rPr>
        <w:t>Each set of logical combinations of events that can cause the top-event is</w:t>
      </w:r>
      <w:r w:rsidR="00051954" w:rsidRPr="00240534">
        <w:rPr>
          <w:rFonts w:ascii="Calibri" w:hAnsi="Calibri" w:cs="Calibri"/>
        </w:rPr>
        <w:t xml:space="preserve"> </w:t>
      </w:r>
      <w:r w:rsidR="00DC773A" w:rsidRPr="00240534">
        <w:rPr>
          <w:rFonts w:ascii="Calibri" w:hAnsi="Calibri" w:cs="Calibri"/>
        </w:rPr>
        <w:t>called</w:t>
      </w:r>
      <w:r w:rsidR="00051954" w:rsidRPr="00240534">
        <w:rPr>
          <w:rFonts w:ascii="Calibri" w:hAnsi="Calibri" w:cs="Calibri"/>
        </w:rPr>
        <w:t xml:space="preserve"> a cut sequence. </w:t>
      </w:r>
      <w:r w:rsidR="000B1DB0" w:rsidRPr="00240534">
        <w:rPr>
          <w:rFonts w:ascii="Calibri" w:hAnsi="Calibri" w:cs="Calibri"/>
        </w:rPr>
        <w:t>Through the</w:t>
      </w:r>
      <w:r w:rsidR="00A07C76" w:rsidRPr="00240534">
        <w:rPr>
          <w:rFonts w:ascii="Calibri" w:hAnsi="Calibri" w:cs="Calibri"/>
        </w:rPr>
        <w:t xml:space="preserve"> use of the Boolean laws</w:t>
      </w:r>
      <w:r w:rsidR="000B1DB0" w:rsidRPr="00240534">
        <w:rPr>
          <w:rFonts w:ascii="Calibri" w:hAnsi="Calibri" w:cs="Calibri"/>
        </w:rPr>
        <w:t xml:space="preserve"> and the Temporal Truth Table </w:t>
      </w:r>
      <w:r w:rsidR="002D4D82" w:rsidRPr="00240534">
        <w:rPr>
          <w:rFonts w:ascii="Calibri" w:hAnsi="Calibri" w:cs="Calibri"/>
        </w:rPr>
        <w:fldChar w:fldCharType="begin" w:fldLock="1"/>
      </w:r>
      <w:r w:rsidR="00A07C76" w:rsidRPr="00240534">
        <w:rPr>
          <w:rFonts w:ascii="Calibri" w:hAnsi="Calibri" w:cs="Calibri"/>
        </w:rPr>
        <w:instrText>ADDIN CSL_CITATION { "citationItems" : [ { "id" : "ITEM-1", "itemData" : { "author" : [ { "dropping-particle" : "", "family" : "Walker", "given" : "MD", "non-dropping-particle" : "", "parse-names" : false, "suffix" : "" } ], "id" : "ITEM-1", "issue" : "May", "issued" : { "date-parts" : [ [ "2009" ] ] }, "number-of-pages" : "299", "publisher" : "University of Hull", "title" : "Pandora: A Logic for the Qualitative Analysis of Temporal Fault Trees", "type" : "thesis" }, "uris" : [ "http://www.mendeley.com/documents/?uuid=870576ed-8a06-461e-a1bd-70fccdeb5487" ] } ], "mendeley" : { "formattedCitation" : "(Walker, 2009)", "plainTextFormattedCitation" : "(Walker, 2009)", "previouslyFormattedCitation" : "(Walker, 2009)" }, "properties" : { "noteIndex" : 0 }, "schema" : "https://github.com/citation-style-language/schema/raw/master/csl-citation.json" }</w:instrText>
      </w:r>
      <w:r w:rsidR="002D4D82" w:rsidRPr="00240534">
        <w:rPr>
          <w:rFonts w:ascii="Calibri" w:hAnsi="Calibri" w:cs="Calibri"/>
        </w:rPr>
        <w:fldChar w:fldCharType="separate"/>
      </w:r>
      <w:r w:rsidR="00A07C76" w:rsidRPr="00240534">
        <w:rPr>
          <w:rFonts w:ascii="Calibri" w:hAnsi="Calibri" w:cs="Calibri"/>
          <w:noProof/>
        </w:rPr>
        <w:t>(Walker, 2009)</w:t>
      </w:r>
      <w:r w:rsidR="002D4D82" w:rsidRPr="00240534">
        <w:rPr>
          <w:rFonts w:ascii="Calibri" w:hAnsi="Calibri" w:cs="Calibri"/>
        </w:rPr>
        <w:fldChar w:fldCharType="end"/>
      </w:r>
      <w:r w:rsidR="000B1DB0" w:rsidRPr="00240534">
        <w:rPr>
          <w:rFonts w:ascii="Calibri" w:hAnsi="Calibri" w:cs="Calibri"/>
        </w:rPr>
        <w:t xml:space="preserve">, the </w:t>
      </w:r>
      <w:r w:rsidRPr="00240534">
        <w:rPr>
          <w:rFonts w:ascii="Calibri" w:hAnsi="Calibri" w:cs="Calibri"/>
        </w:rPr>
        <w:t>logical expression can be reduced to its</w:t>
      </w:r>
      <w:r w:rsidR="000B1DB0" w:rsidRPr="00240534">
        <w:rPr>
          <w:rFonts w:ascii="Calibri" w:hAnsi="Calibri" w:cs="Calibri"/>
        </w:rPr>
        <w:t xml:space="preserve"> smallest, simplest form </w:t>
      </w:r>
      <w:r w:rsidRPr="00240534">
        <w:rPr>
          <w:rFonts w:ascii="Calibri" w:hAnsi="Calibri" w:cs="Calibri"/>
        </w:rPr>
        <w:t xml:space="preserve">resulting in a combination of what is termed </w:t>
      </w:r>
      <w:r w:rsidR="000B1DB0" w:rsidRPr="00240534">
        <w:rPr>
          <w:rFonts w:ascii="Calibri" w:hAnsi="Calibri" w:cs="Calibri"/>
        </w:rPr>
        <w:t>minimal cut sequence</w:t>
      </w:r>
      <w:r w:rsidRPr="00240534">
        <w:rPr>
          <w:rFonts w:ascii="Calibri" w:hAnsi="Calibri" w:cs="Calibri"/>
        </w:rPr>
        <w:t>s</w:t>
      </w:r>
      <w:r w:rsidR="000B1DB0" w:rsidRPr="00240534">
        <w:rPr>
          <w:rFonts w:ascii="Calibri" w:hAnsi="Calibri" w:cs="Calibri"/>
        </w:rPr>
        <w:t xml:space="preserve"> (MCSQ). The MCSQ is a combination of </w:t>
      </w:r>
      <w:r w:rsidR="00DC773A" w:rsidRPr="00240534">
        <w:rPr>
          <w:rFonts w:ascii="Calibri" w:hAnsi="Calibri" w:cs="Calibri"/>
        </w:rPr>
        <w:t xml:space="preserve">the </w:t>
      </w:r>
      <w:r w:rsidR="000B1DB0" w:rsidRPr="00240534">
        <w:rPr>
          <w:rFonts w:ascii="Calibri" w:hAnsi="Calibri" w:cs="Calibri"/>
        </w:rPr>
        <w:t xml:space="preserve">basic events that are necessary and sufficient to trigger the occurrence of the top-event. </w:t>
      </w:r>
      <w:r w:rsidR="00DC773A" w:rsidRPr="00240534">
        <w:rPr>
          <w:rFonts w:ascii="Calibri" w:hAnsi="Calibri" w:cs="Calibri"/>
        </w:rPr>
        <w:t>In order t</w:t>
      </w:r>
      <w:r w:rsidRPr="00240534">
        <w:rPr>
          <w:rFonts w:ascii="Calibri" w:hAnsi="Calibri" w:cs="Calibri"/>
        </w:rPr>
        <w:t>o be necessary, each basic event in the MCSQ is needed to trigger the top-event. To be sufficient, each MCSQ, without the inclusion of other events</w:t>
      </w:r>
      <w:r w:rsidR="00717533" w:rsidRPr="00240534">
        <w:rPr>
          <w:rFonts w:ascii="Calibri" w:hAnsi="Calibri" w:cs="Calibri"/>
        </w:rPr>
        <w:t>, should trigger the top-event.</w:t>
      </w:r>
      <w:r w:rsidR="00D51F71" w:rsidRPr="00240534">
        <w:rPr>
          <w:rFonts w:ascii="Calibri" w:hAnsi="Calibri" w:cs="Calibri"/>
        </w:rPr>
        <w:t xml:space="preserve"> The result of the logical analysis </w:t>
      </w:r>
      <w:r w:rsidR="00CE2EA6" w:rsidRPr="00240534">
        <w:rPr>
          <w:rFonts w:ascii="Calibri" w:hAnsi="Calibri" w:cs="Calibri"/>
        </w:rPr>
        <w:t>highlights</w:t>
      </w:r>
      <w:r w:rsidR="00D51F71" w:rsidRPr="00240534">
        <w:rPr>
          <w:rFonts w:ascii="Calibri" w:hAnsi="Calibri" w:cs="Calibri"/>
        </w:rPr>
        <w:t xml:space="preserve"> the </w:t>
      </w:r>
      <w:r w:rsidR="00CE2EA6" w:rsidRPr="00240534">
        <w:rPr>
          <w:rFonts w:ascii="Calibri" w:hAnsi="Calibri" w:cs="Calibri"/>
        </w:rPr>
        <w:t>single points of failure</w:t>
      </w:r>
      <w:r w:rsidR="00D51F71" w:rsidRPr="00240534">
        <w:rPr>
          <w:rFonts w:ascii="Calibri" w:hAnsi="Calibri" w:cs="Calibri"/>
        </w:rPr>
        <w:t xml:space="preserve"> of the system, which is extremely useful in resource allocation</w:t>
      </w:r>
      <w:r w:rsidR="0005678E" w:rsidRPr="00240534">
        <w:rPr>
          <w:rFonts w:ascii="Calibri" w:hAnsi="Calibri" w:cs="Calibri"/>
        </w:rPr>
        <w:t xml:space="preserve"> within a risk mitigation strategy</w:t>
      </w:r>
      <w:r w:rsidR="00D51F71" w:rsidRPr="00240534">
        <w:rPr>
          <w:rFonts w:ascii="Calibri" w:hAnsi="Calibri" w:cs="Calibri"/>
        </w:rPr>
        <w:t xml:space="preserve">. Logical analysis also </w:t>
      </w:r>
      <w:r w:rsidR="0005678E" w:rsidRPr="00240534">
        <w:rPr>
          <w:rFonts w:ascii="Calibri" w:hAnsi="Calibri" w:cs="Calibri"/>
        </w:rPr>
        <w:t>enables development of more robust supply chain configurations.</w:t>
      </w:r>
    </w:p>
    <w:p w:rsidR="00333850" w:rsidRPr="00240534" w:rsidRDefault="00333850" w:rsidP="00240534">
      <w:pPr>
        <w:spacing w:line="240" w:lineRule="auto"/>
        <w:jc w:val="both"/>
        <w:rPr>
          <w:rFonts w:ascii="Calibri" w:hAnsi="Calibri" w:cs="Calibri"/>
        </w:rPr>
      </w:pPr>
    </w:p>
    <w:p w:rsidR="006711AE" w:rsidRPr="00240534" w:rsidRDefault="007F0742" w:rsidP="00240534">
      <w:pPr>
        <w:spacing w:line="240" w:lineRule="auto"/>
        <w:jc w:val="both"/>
        <w:rPr>
          <w:rFonts w:ascii="Calibri" w:hAnsi="Calibri" w:cs="Calibri"/>
        </w:rPr>
      </w:pPr>
      <w:r w:rsidRPr="00240534">
        <w:rPr>
          <w:rFonts w:ascii="Calibri" w:hAnsi="Calibri" w:cs="Calibri"/>
        </w:rPr>
        <w:t>The probabilistic analysis involves the evaluation of the probability of the top-event occurring and the contribution of various events to occurrence of the top-event. Various failure data (corresponding to the failure distribution) will therefore need to be assigned to each individual event</w:t>
      </w:r>
      <w:r w:rsidR="00CE215E" w:rsidRPr="00240534">
        <w:rPr>
          <w:rFonts w:ascii="Calibri" w:hAnsi="Calibri" w:cs="Calibri"/>
        </w:rPr>
        <w:t xml:space="preserve">. </w:t>
      </w:r>
      <w:r w:rsidR="005D7B9A" w:rsidRPr="00240534">
        <w:rPr>
          <w:rFonts w:ascii="Calibri" w:hAnsi="Calibri" w:cs="Calibri"/>
        </w:rPr>
        <w:t xml:space="preserve">Some analytical and simulation techniques </w:t>
      </w:r>
      <w:r w:rsidR="002D4D82" w:rsidRPr="00240534">
        <w:rPr>
          <w:rFonts w:ascii="Calibri" w:hAnsi="Calibri" w:cs="Calibri"/>
        </w:rPr>
        <w:fldChar w:fldCharType="begin" w:fldLock="1"/>
      </w:r>
      <w:r w:rsidR="00CA3CD4" w:rsidRPr="00240534">
        <w:rPr>
          <w:rFonts w:ascii="Calibri" w:hAnsi="Calibri" w:cs="Calibri"/>
        </w:rPr>
        <w:instrText>ADDIN CSL_CITATION { "citationItems" : [ { "id" : "ITEM-1", "itemData" : { "author" : [ { "dropping-particle" : "", "family" : "Edifor", "given" : "Ernest E", "non-dropping-particle" : "", "parse-names" : false, "suffix" : "" } ], "id" : "ITEM-1", "issue" : "August", "issued" : { "date-parts" : [ [ "2014" ] ] }, "publisher" : "University of Hull", "title" : "Quantitative Analysis of Dynamic Safety-Critical Systems Using Temporal Fault Trees", "type" : "thesis" }, "uris" : [ "http://www.mendeley.com/documents/?uuid=96217306-eb3a-455f-8695-96a783cf4bb1" ] } ], "mendeley" : { "formattedCitation" : "(E. E. Edifor, 2014)", "manualFormatting" : "(Edifor, 2014)", "plainTextFormattedCitation" : "(E. E. Edifor, 2014)", "previouslyFormattedCitation" : "(E. E. Edifor, 2014)" }, "properties" : { "noteIndex" : 0 }, "schema" : "https://github.com/citation-style-language/schema/raw/master/csl-citation.json" }</w:instrText>
      </w:r>
      <w:r w:rsidR="002D4D82" w:rsidRPr="00240534">
        <w:rPr>
          <w:rFonts w:ascii="Calibri" w:hAnsi="Calibri" w:cs="Calibri"/>
        </w:rPr>
        <w:fldChar w:fldCharType="separate"/>
      </w:r>
      <w:r w:rsidR="00A07C76" w:rsidRPr="00240534">
        <w:rPr>
          <w:rFonts w:ascii="Calibri" w:hAnsi="Calibri" w:cs="Calibri"/>
          <w:noProof/>
        </w:rPr>
        <w:t>(Edifor, 2014)</w:t>
      </w:r>
      <w:r w:rsidR="002D4D82" w:rsidRPr="00240534">
        <w:rPr>
          <w:rFonts w:ascii="Calibri" w:hAnsi="Calibri" w:cs="Calibri"/>
        </w:rPr>
        <w:fldChar w:fldCharType="end"/>
      </w:r>
      <w:r w:rsidR="005D7B9A" w:rsidRPr="00240534">
        <w:rPr>
          <w:rFonts w:ascii="Calibri" w:hAnsi="Calibri" w:cs="Calibri"/>
        </w:rPr>
        <w:t xml:space="preserve"> have been developed for these evaluations; the former is restricted to exponential distribution while the latter is not limited to any failure distribution.</w:t>
      </w:r>
      <w:r w:rsidR="00CE2EA6" w:rsidRPr="00240534">
        <w:rPr>
          <w:rFonts w:ascii="Calibri" w:hAnsi="Calibri" w:cs="Calibri"/>
        </w:rPr>
        <w:t xml:space="preserve"> The sensitivity analysis and risks for each basic or intermediate event can be calculated as part of the probabilistic analysis. These calculations provide analysts with information regarding critical aspects of the system that may require more resource allocation, attention or backups.</w:t>
      </w:r>
    </w:p>
    <w:p w:rsidR="00262708" w:rsidRPr="00240534" w:rsidRDefault="00262708" w:rsidP="00240534">
      <w:pPr>
        <w:spacing w:line="240" w:lineRule="auto"/>
        <w:jc w:val="both"/>
        <w:rPr>
          <w:rFonts w:ascii="Calibri" w:hAnsi="Calibri" w:cs="Calibri"/>
        </w:rPr>
      </w:pPr>
    </w:p>
    <w:p w:rsidR="00D23E2D" w:rsidRPr="00240534" w:rsidRDefault="00D23E2D" w:rsidP="00240534">
      <w:pPr>
        <w:pStyle w:val="Heading2"/>
        <w:spacing w:line="240" w:lineRule="auto"/>
        <w:rPr>
          <w:rFonts w:ascii="Calibri" w:hAnsi="Calibri" w:cs="Calibri"/>
          <w:szCs w:val="22"/>
        </w:rPr>
      </w:pPr>
      <w:r w:rsidRPr="00240534">
        <w:rPr>
          <w:rFonts w:ascii="Calibri" w:hAnsi="Calibri" w:cs="Calibri"/>
          <w:szCs w:val="22"/>
        </w:rPr>
        <w:t>Case Study</w:t>
      </w:r>
    </w:p>
    <w:p w:rsidR="000F7374" w:rsidRPr="00240534" w:rsidRDefault="00C36066" w:rsidP="00240534">
      <w:pPr>
        <w:spacing w:line="240" w:lineRule="auto"/>
        <w:jc w:val="both"/>
        <w:rPr>
          <w:rFonts w:ascii="Calibri" w:hAnsi="Calibri" w:cs="Calibri"/>
          <w:color w:val="000000" w:themeColor="text1"/>
        </w:rPr>
      </w:pPr>
      <w:r w:rsidRPr="00240534">
        <w:rPr>
          <w:rFonts w:ascii="Calibri" w:hAnsi="Calibri" w:cs="Calibri"/>
        </w:rPr>
        <w:t xml:space="preserve">An analysis of a hypothetical case study is considered to practically demonstrate the technique </w:t>
      </w:r>
      <w:r w:rsidR="00BB75E1" w:rsidRPr="00240534">
        <w:rPr>
          <w:rFonts w:ascii="Calibri" w:hAnsi="Calibri" w:cs="Calibri"/>
        </w:rPr>
        <w:t xml:space="preserve">proposed </w:t>
      </w:r>
      <w:r w:rsidRPr="00240534">
        <w:rPr>
          <w:rFonts w:ascii="Calibri" w:hAnsi="Calibri" w:cs="Calibri"/>
        </w:rPr>
        <w:t>in this paper</w:t>
      </w:r>
      <w:r w:rsidR="00BD5613" w:rsidRPr="00240534">
        <w:rPr>
          <w:rFonts w:ascii="Calibri" w:hAnsi="Calibri" w:cs="Calibri"/>
        </w:rPr>
        <w:t xml:space="preserve">. </w:t>
      </w:r>
      <w:r w:rsidR="00044561" w:rsidRPr="00240534">
        <w:rPr>
          <w:rFonts w:ascii="Calibri" w:hAnsi="Calibri" w:cs="Calibri"/>
        </w:rPr>
        <w:t xml:space="preserve">Kelso is a chemical </w:t>
      </w:r>
      <w:r w:rsidR="0001442D" w:rsidRPr="00240534">
        <w:rPr>
          <w:rFonts w:ascii="Calibri" w:hAnsi="Calibri" w:cs="Calibri"/>
        </w:rPr>
        <w:t>plant</w:t>
      </w:r>
      <w:r w:rsidR="00044561" w:rsidRPr="00240534">
        <w:rPr>
          <w:rFonts w:ascii="Calibri" w:hAnsi="Calibri" w:cs="Calibri"/>
        </w:rPr>
        <w:t xml:space="preserve"> that produces various chemicals for hospitals, universities and </w:t>
      </w:r>
      <w:r w:rsidR="00BB75E1" w:rsidRPr="00240534">
        <w:rPr>
          <w:rFonts w:ascii="Calibri" w:hAnsi="Calibri" w:cs="Calibri"/>
        </w:rPr>
        <w:t>related sectors</w:t>
      </w:r>
      <w:r w:rsidR="00044561" w:rsidRPr="00240534">
        <w:rPr>
          <w:rFonts w:ascii="Calibri" w:hAnsi="Calibri" w:cs="Calibri"/>
        </w:rPr>
        <w:t xml:space="preserve">. It </w:t>
      </w:r>
      <w:r w:rsidR="00D9644F" w:rsidRPr="00240534">
        <w:rPr>
          <w:rFonts w:ascii="Calibri" w:hAnsi="Calibri" w:cs="Calibri"/>
        </w:rPr>
        <w:t xml:space="preserve">has </w:t>
      </w:r>
      <w:r w:rsidR="00863EAD" w:rsidRPr="00240534">
        <w:rPr>
          <w:rFonts w:ascii="Calibri" w:hAnsi="Calibri" w:cs="Calibri"/>
        </w:rPr>
        <w:t>two</w:t>
      </w:r>
      <w:r w:rsidR="00D9644F" w:rsidRPr="00240534">
        <w:rPr>
          <w:rFonts w:ascii="Calibri" w:hAnsi="Calibri" w:cs="Calibri"/>
        </w:rPr>
        <w:t xml:space="preserve"> main </w:t>
      </w:r>
      <w:r w:rsidR="00863EAD" w:rsidRPr="00240534">
        <w:rPr>
          <w:rFonts w:ascii="Calibri" w:hAnsi="Calibri" w:cs="Calibri"/>
        </w:rPr>
        <w:t xml:space="preserve">chemical </w:t>
      </w:r>
      <w:r w:rsidR="00D9644F" w:rsidRPr="00240534">
        <w:rPr>
          <w:rFonts w:ascii="Calibri" w:hAnsi="Calibri" w:cs="Calibri"/>
        </w:rPr>
        <w:t>suppliers (</w:t>
      </w:r>
      <w:r w:rsidR="00E15B9C" w:rsidRPr="00240534">
        <w:rPr>
          <w:rFonts w:ascii="Calibri" w:hAnsi="Calibri" w:cs="Calibri"/>
        </w:rPr>
        <w:t>Suppl</w:t>
      </w:r>
      <w:r w:rsidRPr="00240534">
        <w:rPr>
          <w:rFonts w:ascii="Calibri" w:hAnsi="Calibri" w:cs="Calibri"/>
        </w:rPr>
        <w:t>ier</w:t>
      </w:r>
      <w:r w:rsidR="00D9644F" w:rsidRPr="00240534">
        <w:rPr>
          <w:rFonts w:ascii="Calibri" w:hAnsi="Calibri" w:cs="Calibri"/>
        </w:rPr>
        <w:t>-A and Supp</w:t>
      </w:r>
      <w:r w:rsidR="00E15B9C" w:rsidRPr="00240534">
        <w:rPr>
          <w:rFonts w:ascii="Calibri" w:hAnsi="Calibri" w:cs="Calibri"/>
        </w:rPr>
        <w:t>l</w:t>
      </w:r>
      <w:r w:rsidRPr="00240534">
        <w:rPr>
          <w:rFonts w:ascii="Calibri" w:hAnsi="Calibri" w:cs="Calibri"/>
        </w:rPr>
        <w:t>ier</w:t>
      </w:r>
      <w:r w:rsidR="00D9644F" w:rsidRPr="00240534">
        <w:rPr>
          <w:rFonts w:ascii="Calibri" w:hAnsi="Calibri" w:cs="Calibri"/>
        </w:rPr>
        <w:t>-</w:t>
      </w:r>
      <w:r w:rsidR="00044561" w:rsidRPr="00240534">
        <w:rPr>
          <w:rFonts w:ascii="Calibri" w:hAnsi="Calibri" w:cs="Calibri"/>
        </w:rPr>
        <w:t>B)</w:t>
      </w:r>
      <w:r w:rsidR="00863EAD" w:rsidRPr="00240534">
        <w:rPr>
          <w:rFonts w:ascii="Calibri" w:hAnsi="Calibri" w:cs="Calibri"/>
        </w:rPr>
        <w:t xml:space="preserve"> and a haulier </w:t>
      </w:r>
      <w:r w:rsidR="00D9644F" w:rsidRPr="00240534">
        <w:rPr>
          <w:rFonts w:ascii="Calibri" w:hAnsi="Calibri" w:cs="Calibri"/>
        </w:rPr>
        <w:t>(Haul</w:t>
      </w:r>
      <w:r w:rsidRPr="00240534">
        <w:rPr>
          <w:rFonts w:ascii="Calibri" w:hAnsi="Calibri" w:cs="Calibri"/>
        </w:rPr>
        <w:t>ier</w:t>
      </w:r>
      <w:r w:rsidR="00D9644F" w:rsidRPr="00240534">
        <w:rPr>
          <w:rFonts w:ascii="Calibri" w:hAnsi="Calibri" w:cs="Calibri"/>
        </w:rPr>
        <w:t>-A)</w:t>
      </w:r>
      <w:r w:rsidR="00044561" w:rsidRPr="00240534">
        <w:rPr>
          <w:rFonts w:ascii="Calibri" w:hAnsi="Calibri" w:cs="Calibri"/>
        </w:rPr>
        <w:t xml:space="preserve"> that transports the supplies from the suppliers to the company’s </w:t>
      </w:r>
      <w:r w:rsidR="000F7374" w:rsidRPr="00240534">
        <w:rPr>
          <w:rFonts w:ascii="Calibri" w:hAnsi="Calibri" w:cs="Calibri"/>
        </w:rPr>
        <w:t>only</w:t>
      </w:r>
      <w:r w:rsidR="00044561" w:rsidRPr="00240534">
        <w:rPr>
          <w:rFonts w:ascii="Calibri" w:hAnsi="Calibri" w:cs="Calibri"/>
        </w:rPr>
        <w:t xml:space="preserve"> plant.</w:t>
      </w:r>
      <w:r w:rsidR="00863EAD" w:rsidRPr="00240534">
        <w:rPr>
          <w:rFonts w:ascii="Calibri" w:hAnsi="Calibri" w:cs="Calibri"/>
        </w:rPr>
        <w:t xml:space="preserve"> </w:t>
      </w:r>
      <w:r w:rsidR="002C1CF2" w:rsidRPr="00240534">
        <w:rPr>
          <w:rFonts w:ascii="Calibri" w:hAnsi="Calibri" w:cs="Calibri"/>
        </w:rPr>
        <w:t xml:space="preserve">Kelso’s contract is such that, 75% of its chemicals are supplied by </w:t>
      </w:r>
      <w:r w:rsidR="00E15B9C" w:rsidRPr="00240534">
        <w:rPr>
          <w:rFonts w:ascii="Calibri" w:hAnsi="Calibri" w:cs="Calibri"/>
        </w:rPr>
        <w:t>Suppl</w:t>
      </w:r>
      <w:r w:rsidRPr="00240534">
        <w:rPr>
          <w:rFonts w:ascii="Calibri" w:hAnsi="Calibri" w:cs="Calibri"/>
        </w:rPr>
        <w:t>ier</w:t>
      </w:r>
      <w:r w:rsidR="002C1CF2" w:rsidRPr="00240534">
        <w:rPr>
          <w:rFonts w:ascii="Calibri" w:hAnsi="Calibri" w:cs="Calibri"/>
        </w:rPr>
        <w:t>-A</w:t>
      </w:r>
      <w:r w:rsidRPr="00240534">
        <w:rPr>
          <w:rFonts w:ascii="Calibri" w:hAnsi="Calibri" w:cs="Calibri"/>
        </w:rPr>
        <w:t xml:space="preserve"> and 25% by Supplier-B</w:t>
      </w:r>
      <w:r w:rsidR="00F97C7A" w:rsidRPr="00240534">
        <w:rPr>
          <w:rFonts w:ascii="Calibri" w:hAnsi="Calibri" w:cs="Calibri"/>
        </w:rPr>
        <w:t xml:space="preserve">. When </w:t>
      </w:r>
      <w:r w:rsidRPr="00240534">
        <w:rPr>
          <w:rFonts w:ascii="Calibri" w:hAnsi="Calibri" w:cs="Calibri"/>
        </w:rPr>
        <w:t>both suppliers</w:t>
      </w:r>
      <w:r w:rsidR="00F97C7A" w:rsidRPr="00240534">
        <w:rPr>
          <w:rFonts w:ascii="Calibri" w:hAnsi="Calibri" w:cs="Calibri"/>
        </w:rPr>
        <w:t xml:space="preserve"> </w:t>
      </w:r>
      <w:r w:rsidRPr="00240534">
        <w:rPr>
          <w:rFonts w:ascii="Calibri" w:hAnsi="Calibri" w:cs="Calibri"/>
        </w:rPr>
        <w:t>are</w:t>
      </w:r>
      <w:r w:rsidR="00F97C7A" w:rsidRPr="00240534">
        <w:rPr>
          <w:rFonts w:ascii="Calibri" w:hAnsi="Calibri" w:cs="Calibri"/>
        </w:rPr>
        <w:t xml:space="preserve"> unable to </w:t>
      </w:r>
      <w:r w:rsidR="00615908" w:rsidRPr="00240534">
        <w:rPr>
          <w:rFonts w:ascii="Calibri" w:hAnsi="Calibri" w:cs="Calibri"/>
        </w:rPr>
        <w:t xml:space="preserve">deliver </w:t>
      </w:r>
      <w:r w:rsidR="00F97C7A" w:rsidRPr="00240534">
        <w:rPr>
          <w:rFonts w:ascii="Calibri" w:hAnsi="Calibri" w:cs="Calibri"/>
        </w:rPr>
        <w:t>the</w:t>
      </w:r>
      <w:r w:rsidRPr="00240534">
        <w:rPr>
          <w:rFonts w:ascii="Calibri" w:hAnsi="Calibri" w:cs="Calibri"/>
        </w:rPr>
        <w:t>ir</w:t>
      </w:r>
      <w:r w:rsidR="00F97C7A" w:rsidRPr="00240534">
        <w:rPr>
          <w:rFonts w:ascii="Calibri" w:hAnsi="Calibri" w:cs="Calibri"/>
        </w:rPr>
        <w:t xml:space="preserve"> </w:t>
      </w:r>
      <w:r w:rsidR="00615908" w:rsidRPr="00240534">
        <w:rPr>
          <w:rFonts w:ascii="Calibri" w:hAnsi="Calibri" w:cs="Calibri"/>
        </w:rPr>
        <w:t>contracted volumes</w:t>
      </w:r>
      <w:r w:rsidR="00F97C7A" w:rsidRPr="00240534">
        <w:rPr>
          <w:rFonts w:ascii="Calibri" w:hAnsi="Calibri" w:cs="Calibri"/>
        </w:rPr>
        <w:t xml:space="preserve">, </w:t>
      </w:r>
      <w:r w:rsidRPr="00240534">
        <w:rPr>
          <w:rFonts w:ascii="Calibri" w:hAnsi="Calibri" w:cs="Calibri"/>
        </w:rPr>
        <w:t>Kelso’s administrator, who is based in the plant, requests the shortfall from Supplier-C with a lead-time of 2 days via a second Haulier (Haulier-B)</w:t>
      </w:r>
      <w:r w:rsidR="002C1CF2" w:rsidRPr="00240534">
        <w:rPr>
          <w:rFonts w:ascii="Calibri" w:hAnsi="Calibri" w:cs="Calibri"/>
        </w:rPr>
        <w:t xml:space="preserve">. </w:t>
      </w:r>
      <w:r w:rsidR="002713F3" w:rsidRPr="00240534">
        <w:rPr>
          <w:rFonts w:ascii="Calibri" w:hAnsi="Calibri" w:cs="Calibri"/>
        </w:rPr>
        <w:t>Haul</w:t>
      </w:r>
      <w:r w:rsidRPr="00240534">
        <w:rPr>
          <w:rFonts w:ascii="Calibri" w:hAnsi="Calibri" w:cs="Calibri"/>
        </w:rPr>
        <w:t>ier</w:t>
      </w:r>
      <w:r w:rsidR="002713F3" w:rsidRPr="00240534">
        <w:rPr>
          <w:rFonts w:ascii="Calibri" w:hAnsi="Calibri" w:cs="Calibri"/>
        </w:rPr>
        <w:t>-</w:t>
      </w:r>
      <w:r w:rsidR="000F7374" w:rsidRPr="00240534">
        <w:rPr>
          <w:rFonts w:ascii="Calibri" w:hAnsi="Calibri" w:cs="Calibri"/>
        </w:rPr>
        <w:t>C</w:t>
      </w:r>
      <w:r w:rsidR="00863EAD" w:rsidRPr="00240534">
        <w:rPr>
          <w:rFonts w:ascii="Calibri" w:hAnsi="Calibri" w:cs="Calibri"/>
        </w:rPr>
        <w:t xml:space="preserve"> del</w:t>
      </w:r>
      <w:r w:rsidRPr="00240534">
        <w:rPr>
          <w:rFonts w:ascii="Calibri" w:hAnsi="Calibri" w:cs="Calibri"/>
        </w:rPr>
        <w:t>ivers Kelso’s packaging from a S</w:t>
      </w:r>
      <w:r w:rsidR="00863EAD" w:rsidRPr="00240534">
        <w:rPr>
          <w:rFonts w:ascii="Calibri" w:hAnsi="Calibri" w:cs="Calibri"/>
        </w:rPr>
        <w:t>upplier</w:t>
      </w:r>
      <w:r w:rsidRPr="00240534">
        <w:rPr>
          <w:rFonts w:ascii="Calibri" w:hAnsi="Calibri" w:cs="Calibri"/>
        </w:rPr>
        <w:t>-D</w:t>
      </w:r>
      <w:r w:rsidR="00863EAD" w:rsidRPr="00240534">
        <w:rPr>
          <w:rFonts w:ascii="Calibri" w:hAnsi="Calibri" w:cs="Calibri"/>
        </w:rPr>
        <w:t>.</w:t>
      </w:r>
      <w:r w:rsidR="00F12B09" w:rsidRPr="00240534">
        <w:rPr>
          <w:rFonts w:ascii="Calibri" w:hAnsi="Calibri" w:cs="Calibri"/>
        </w:rPr>
        <w:t xml:space="preserve"> </w:t>
      </w:r>
      <w:r w:rsidR="00176A1C" w:rsidRPr="00240534">
        <w:rPr>
          <w:rFonts w:ascii="Calibri" w:hAnsi="Calibri" w:cs="Calibri"/>
          <w:color w:val="000000" w:themeColor="text1"/>
        </w:rPr>
        <w:t xml:space="preserve">The </w:t>
      </w:r>
      <w:r w:rsidR="00615908" w:rsidRPr="00240534">
        <w:rPr>
          <w:rFonts w:ascii="Calibri" w:hAnsi="Calibri" w:cs="Calibri"/>
          <w:color w:val="000000" w:themeColor="text1"/>
        </w:rPr>
        <w:t xml:space="preserve">supply </w:t>
      </w:r>
      <w:r w:rsidR="00176A1C" w:rsidRPr="00240534">
        <w:rPr>
          <w:rFonts w:ascii="Calibri" w:hAnsi="Calibri" w:cs="Calibri"/>
          <w:color w:val="000000" w:themeColor="text1"/>
        </w:rPr>
        <w:t>contract</w:t>
      </w:r>
      <w:r w:rsidR="00615908" w:rsidRPr="00240534">
        <w:rPr>
          <w:rFonts w:ascii="Calibri" w:hAnsi="Calibri" w:cs="Calibri"/>
          <w:color w:val="000000" w:themeColor="text1"/>
        </w:rPr>
        <w:t>s</w:t>
      </w:r>
      <w:r w:rsidR="00176A1C" w:rsidRPr="00240534">
        <w:rPr>
          <w:rFonts w:ascii="Calibri" w:hAnsi="Calibri" w:cs="Calibri"/>
          <w:color w:val="000000" w:themeColor="text1"/>
        </w:rPr>
        <w:t xml:space="preserve"> and supply configuration is such that if Admin</w:t>
      </w:r>
      <w:r w:rsidR="00615908" w:rsidRPr="00240534">
        <w:rPr>
          <w:rFonts w:ascii="Calibri" w:hAnsi="Calibri" w:cs="Calibri"/>
          <w:color w:val="000000" w:themeColor="text1"/>
        </w:rPr>
        <w:t>istration</w:t>
      </w:r>
      <w:r w:rsidR="00176A1C" w:rsidRPr="00240534">
        <w:rPr>
          <w:rFonts w:ascii="Calibri" w:hAnsi="Calibri" w:cs="Calibri"/>
          <w:color w:val="000000" w:themeColor="text1"/>
        </w:rPr>
        <w:t xml:space="preserve"> fails its duties (e.g. due to employee</w:t>
      </w:r>
      <w:r w:rsidR="00615908" w:rsidRPr="00240534">
        <w:rPr>
          <w:rFonts w:ascii="Calibri" w:hAnsi="Calibri" w:cs="Calibri"/>
          <w:color w:val="000000" w:themeColor="text1"/>
        </w:rPr>
        <w:t xml:space="preserve"> sickness,</w:t>
      </w:r>
      <w:r w:rsidR="00176A1C" w:rsidRPr="00240534">
        <w:rPr>
          <w:rFonts w:ascii="Calibri" w:hAnsi="Calibri" w:cs="Calibri"/>
          <w:color w:val="000000" w:themeColor="text1"/>
        </w:rPr>
        <w:t xml:space="preserve"> </w:t>
      </w:r>
      <w:r w:rsidR="00615908" w:rsidRPr="00240534">
        <w:rPr>
          <w:rFonts w:ascii="Calibri" w:hAnsi="Calibri" w:cs="Calibri"/>
          <w:color w:val="000000" w:themeColor="text1"/>
        </w:rPr>
        <w:t>industrial action,</w:t>
      </w:r>
      <w:r w:rsidR="004A47BF" w:rsidRPr="00240534">
        <w:rPr>
          <w:rFonts w:ascii="Calibri" w:hAnsi="Calibri" w:cs="Calibri"/>
          <w:color w:val="000000" w:themeColor="text1"/>
        </w:rPr>
        <w:t xml:space="preserve"> </w:t>
      </w:r>
      <w:proofErr w:type="spellStart"/>
      <w:r w:rsidR="00615908" w:rsidRPr="00240534">
        <w:rPr>
          <w:rFonts w:ascii="Calibri" w:hAnsi="Calibri" w:cs="Calibri"/>
          <w:color w:val="000000" w:themeColor="text1"/>
        </w:rPr>
        <w:t>etc</w:t>
      </w:r>
      <w:proofErr w:type="spellEnd"/>
      <w:r w:rsidR="00176A1C" w:rsidRPr="00240534">
        <w:rPr>
          <w:rFonts w:ascii="Calibri" w:hAnsi="Calibri" w:cs="Calibri"/>
          <w:color w:val="000000" w:themeColor="text1"/>
        </w:rPr>
        <w:t xml:space="preserve">) before Supply-A fails to supply goods there would be no supply of goods from Supply-C. </w:t>
      </w:r>
      <w:r w:rsidR="00647FA6" w:rsidRPr="00240534">
        <w:rPr>
          <w:rFonts w:ascii="Calibri" w:hAnsi="Calibri" w:cs="Calibri"/>
          <w:color w:val="000000" w:themeColor="text1"/>
        </w:rPr>
        <w:t>In addition</w:t>
      </w:r>
      <w:r w:rsidR="00176A1C" w:rsidRPr="00240534">
        <w:rPr>
          <w:rFonts w:ascii="Calibri" w:hAnsi="Calibri" w:cs="Calibri"/>
          <w:color w:val="000000" w:themeColor="text1"/>
        </w:rPr>
        <w:t xml:space="preserve">, there would be failure in </w:t>
      </w:r>
      <w:r w:rsidR="00615908" w:rsidRPr="00240534">
        <w:rPr>
          <w:rFonts w:ascii="Calibri" w:hAnsi="Calibri" w:cs="Calibri"/>
          <w:color w:val="000000" w:themeColor="text1"/>
        </w:rPr>
        <w:t xml:space="preserve">the </w:t>
      </w:r>
      <w:r w:rsidR="00176A1C" w:rsidRPr="00240534">
        <w:rPr>
          <w:rFonts w:ascii="Calibri" w:hAnsi="Calibri" w:cs="Calibri"/>
          <w:color w:val="000000" w:themeColor="text1"/>
        </w:rPr>
        <w:t>supply of goods if Supply-A and Supply-B fail within 2 days. Finally, a failure of Supply-A and Supply-B before Supply-C or just the failure of Supply-A and Supply-B would lead to a failure in supplies.</w:t>
      </w:r>
    </w:p>
    <w:p w:rsidR="000F7374" w:rsidRPr="00240534" w:rsidRDefault="000F7374" w:rsidP="00240534">
      <w:pPr>
        <w:spacing w:line="240" w:lineRule="auto"/>
        <w:jc w:val="both"/>
        <w:rPr>
          <w:rFonts w:ascii="Calibri" w:hAnsi="Calibri" w:cs="Calibri"/>
        </w:rPr>
      </w:pPr>
    </w:p>
    <w:p w:rsidR="0026136B" w:rsidRPr="00240534" w:rsidRDefault="0026136B" w:rsidP="00240534">
      <w:pPr>
        <w:spacing w:line="240" w:lineRule="auto"/>
        <w:jc w:val="both"/>
        <w:rPr>
          <w:rFonts w:ascii="Calibri" w:hAnsi="Calibri" w:cs="Calibri"/>
        </w:rPr>
      </w:pPr>
      <w:r w:rsidRPr="00240534">
        <w:rPr>
          <w:rFonts w:ascii="Calibri" w:hAnsi="Calibri" w:cs="Calibri"/>
        </w:rPr>
        <w:lastRenderedPageBreak/>
        <w:t>A fault</w:t>
      </w:r>
      <w:r w:rsidR="00553FF7" w:rsidRPr="00240534">
        <w:rPr>
          <w:rFonts w:ascii="Calibri" w:hAnsi="Calibri" w:cs="Calibri"/>
        </w:rPr>
        <w:t xml:space="preserve"> tree </w:t>
      </w:r>
      <w:r w:rsidR="00615908" w:rsidRPr="00240534">
        <w:rPr>
          <w:rFonts w:ascii="Calibri" w:hAnsi="Calibri" w:cs="Calibri"/>
        </w:rPr>
        <w:t xml:space="preserve">depicting </w:t>
      </w:r>
      <w:r w:rsidR="00553FF7" w:rsidRPr="00240534">
        <w:rPr>
          <w:rFonts w:ascii="Calibri" w:hAnsi="Calibri" w:cs="Calibri"/>
        </w:rPr>
        <w:t xml:space="preserve">the above </w:t>
      </w:r>
      <w:r w:rsidR="00615908" w:rsidRPr="00240534">
        <w:rPr>
          <w:rFonts w:ascii="Calibri" w:hAnsi="Calibri" w:cs="Calibri"/>
        </w:rPr>
        <w:t xml:space="preserve">scenario </w:t>
      </w:r>
      <w:r w:rsidRPr="00240534">
        <w:rPr>
          <w:rFonts w:ascii="Calibri" w:hAnsi="Calibri" w:cs="Calibri"/>
        </w:rPr>
        <w:t>is presented in Figure 3</w:t>
      </w:r>
      <w:r w:rsidR="00615908" w:rsidRPr="00240534">
        <w:rPr>
          <w:rFonts w:ascii="Calibri" w:hAnsi="Calibri" w:cs="Calibri"/>
        </w:rPr>
        <w:t xml:space="preserve"> (note</w:t>
      </w:r>
      <w:r w:rsidR="00553FF7" w:rsidRPr="00240534">
        <w:rPr>
          <w:rFonts w:ascii="Calibri" w:hAnsi="Calibri" w:cs="Calibri"/>
        </w:rPr>
        <w:t xml:space="preserve"> that the top-event is failure in order fulfilment</w:t>
      </w:r>
      <w:r w:rsidR="00523BE0" w:rsidRPr="00240534">
        <w:rPr>
          <w:rFonts w:ascii="Calibri" w:hAnsi="Calibri" w:cs="Calibri"/>
        </w:rPr>
        <w:t>)</w:t>
      </w:r>
      <w:r w:rsidRPr="00240534">
        <w:rPr>
          <w:rFonts w:ascii="Calibri" w:hAnsi="Calibri" w:cs="Calibri"/>
        </w:rPr>
        <w:t>.</w:t>
      </w:r>
      <w:r w:rsidR="00B7333E" w:rsidRPr="00240534">
        <w:rPr>
          <w:rFonts w:ascii="Calibri" w:hAnsi="Calibri" w:cs="Calibri"/>
        </w:rPr>
        <w:t xml:space="preserve"> </w:t>
      </w:r>
      <w:proofErr w:type="spellStart"/>
      <w:r w:rsidR="00B7333E" w:rsidRPr="00240534">
        <w:rPr>
          <w:rFonts w:ascii="Calibri" w:hAnsi="Calibri" w:cs="Calibri"/>
        </w:rPr>
        <w:t>MotSX</w:t>
      </w:r>
      <w:proofErr w:type="spellEnd"/>
      <w:r w:rsidR="00B7333E" w:rsidRPr="00240534">
        <w:rPr>
          <w:rFonts w:ascii="Calibri" w:hAnsi="Calibri" w:cs="Calibri"/>
        </w:rPr>
        <w:t xml:space="preserve"> is motorway disruption to Supplier-X; </w:t>
      </w:r>
      <w:proofErr w:type="spellStart"/>
      <w:r w:rsidR="00B7333E" w:rsidRPr="00240534">
        <w:rPr>
          <w:rFonts w:ascii="Calibri" w:hAnsi="Calibri" w:cs="Calibri"/>
        </w:rPr>
        <w:t>VehSX</w:t>
      </w:r>
      <w:proofErr w:type="spellEnd"/>
      <w:r w:rsidR="00B7333E" w:rsidRPr="00240534">
        <w:rPr>
          <w:rFonts w:ascii="Calibri" w:hAnsi="Calibri" w:cs="Calibri"/>
        </w:rPr>
        <w:t xml:space="preserve"> is a vehicle failure (of a haulier) to Supplier-X; </w:t>
      </w:r>
      <w:proofErr w:type="spellStart"/>
      <w:r w:rsidR="00B7333E" w:rsidRPr="00240534">
        <w:rPr>
          <w:rFonts w:ascii="Calibri" w:hAnsi="Calibri" w:cs="Calibri"/>
        </w:rPr>
        <w:t>SupX</w:t>
      </w:r>
      <w:proofErr w:type="spellEnd"/>
      <w:r w:rsidR="00B7333E" w:rsidRPr="00240534">
        <w:rPr>
          <w:rFonts w:ascii="Calibri" w:hAnsi="Calibri" w:cs="Calibri"/>
        </w:rPr>
        <w:t xml:space="preserve"> is Supplier-X</w:t>
      </w:r>
      <w:r w:rsidR="0057706F" w:rsidRPr="00240534">
        <w:rPr>
          <w:rFonts w:ascii="Calibri" w:hAnsi="Calibri" w:cs="Calibri"/>
        </w:rPr>
        <w:t xml:space="preserve">; </w:t>
      </w:r>
      <w:proofErr w:type="spellStart"/>
      <w:r w:rsidR="0057706F" w:rsidRPr="00240534">
        <w:rPr>
          <w:rFonts w:ascii="Calibri" w:hAnsi="Calibri" w:cs="Calibri"/>
        </w:rPr>
        <w:t>Adm</w:t>
      </w:r>
      <w:proofErr w:type="spellEnd"/>
      <w:r w:rsidR="0057706F" w:rsidRPr="00240534">
        <w:rPr>
          <w:rFonts w:ascii="Calibri" w:hAnsi="Calibri" w:cs="Calibri"/>
        </w:rPr>
        <w:t xml:space="preserve"> is the administrator.</w:t>
      </w:r>
    </w:p>
    <w:p w:rsidR="00044561" w:rsidRPr="00240534" w:rsidRDefault="00044561" w:rsidP="00240534">
      <w:pPr>
        <w:spacing w:line="240" w:lineRule="auto"/>
        <w:jc w:val="both"/>
        <w:rPr>
          <w:rFonts w:ascii="Calibri" w:hAnsi="Calibri" w:cs="Calibri"/>
          <w:color w:val="FF0000"/>
        </w:rPr>
      </w:pPr>
    </w:p>
    <w:p w:rsidR="003E3883" w:rsidRPr="00240534" w:rsidRDefault="00924E7C" w:rsidP="00240534">
      <w:pPr>
        <w:spacing w:line="240" w:lineRule="auto"/>
        <w:jc w:val="center"/>
        <w:rPr>
          <w:rFonts w:ascii="Calibri" w:hAnsi="Calibri" w:cs="Calibri"/>
        </w:rPr>
      </w:pPr>
      <w:r w:rsidRPr="00240534">
        <w:rPr>
          <w:rFonts w:ascii="Calibri" w:hAnsi="Calibri" w:cs="Calibri"/>
          <w:noProof/>
          <w:lang w:eastAsia="ko-KR"/>
        </w:rPr>
        <w:drawing>
          <wp:inline distT="0" distB="0" distL="0" distR="0" wp14:anchorId="4BB319C0" wp14:editId="01D16C0F">
            <wp:extent cx="5347871" cy="34747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5370579" cy="3489474"/>
                    </a:xfrm>
                    <a:prstGeom prst="rect">
                      <a:avLst/>
                    </a:prstGeom>
                    <a:ln>
                      <a:noFill/>
                    </a:ln>
                    <a:extLst>
                      <a:ext uri="{53640926-AAD7-44D8-BBD7-CCE9431645EC}">
                        <a14:shadowObscured xmlns:a14="http://schemas.microsoft.com/office/drawing/2010/main"/>
                      </a:ext>
                    </a:extLst>
                  </pic:spPr>
                </pic:pic>
              </a:graphicData>
            </a:graphic>
          </wp:inline>
        </w:drawing>
      </w:r>
    </w:p>
    <w:p w:rsidR="00553FF7" w:rsidRPr="00240534" w:rsidRDefault="00553FF7" w:rsidP="00240534">
      <w:pPr>
        <w:spacing w:line="240" w:lineRule="auto"/>
        <w:jc w:val="center"/>
        <w:rPr>
          <w:rFonts w:ascii="Calibri" w:hAnsi="Calibri" w:cs="Calibri"/>
        </w:rPr>
      </w:pPr>
    </w:p>
    <w:p w:rsidR="003E3883" w:rsidRPr="00240534" w:rsidRDefault="00A816FD" w:rsidP="00240534">
      <w:pPr>
        <w:spacing w:line="240" w:lineRule="auto"/>
        <w:jc w:val="center"/>
        <w:rPr>
          <w:rFonts w:ascii="Calibri" w:hAnsi="Calibri" w:cs="Calibri"/>
        </w:rPr>
      </w:pPr>
      <w:r w:rsidRPr="00240534">
        <w:rPr>
          <w:rFonts w:ascii="Calibri" w:hAnsi="Calibri" w:cs="Calibri"/>
        </w:rPr>
        <w:t>Figure 3: Fault tree of Kelso</w:t>
      </w:r>
    </w:p>
    <w:p w:rsidR="003E3883" w:rsidRPr="00240534" w:rsidRDefault="003E3883" w:rsidP="00240534">
      <w:pPr>
        <w:spacing w:line="240" w:lineRule="auto"/>
        <w:jc w:val="center"/>
        <w:rPr>
          <w:rFonts w:ascii="Calibri" w:hAnsi="Calibri" w:cs="Calibri"/>
        </w:rPr>
      </w:pPr>
    </w:p>
    <w:p w:rsidR="00F220BF" w:rsidRPr="00240534" w:rsidRDefault="0075059C" w:rsidP="00240534">
      <w:pPr>
        <w:spacing w:line="240" w:lineRule="auto"/>
        <w:jc w:val="both"/>
        <w:rPr>
          <w:rFonts w:ascii="Calibri" w:hAnsi="Calibri" w:cs="Calibri"/>
        </w:rPr>
      </w:pPr>
      <w:r w:rsidRPr="00240534">
        <w:rPr>
          <w:rFonts w:ascii="Calibri" w:hAnsi="Calibri" w:cs="Calibri"/>
        </w:rPr>
        <w:t>F</w:t>
      </w:r>
      <w:r w:rsidR="00523BE0" w:rsidRPr="00240534">
        <w:rPr>
          <w:rFonts w:ascii="Calibri" w:hAnsi="Calibri" w:cs="Calibri"/>
        </w:rPr>
        <w:t>or</w:t>
      </w:r>
      <w:r w:rsidRPr="00240534">
        <w:rPr>
          <w:rFonts w:ascii="Calibri" w:hAnsi="Calibri" w:cs="Calibri"/>
        </w:rPr>
        <w:t xml:space="preserve"> the</w:t>
      </w:r>
      <w:r w:rsidR="00523BE0" w:rsidRPr="00240534">
        <w:rPr>
          <w:rFonts w:ascii="Calibri" w:hAnsi="Calibri" w:cs="Calibri"/>
        </w:rPr>
        <w:t xml:space="preserve"> above</w:t>
      </w:r>
      <w:r w:rsidRPr="00240534">
        <w:rPr>
          <w:rFonts w:ascii="Calibri" w:hAnsi="Calibri" w:cs="Calibri"/>
        </w:rPr>
        <w:t xml:space="preserve"> fault tree, the top-event (failure in order fulfilment)</w:t>
      </w:r>
      <w:r w:rsidR="007B5EB6" w:rsidRPr="00240534">
        <w:rPr>
          <w:rFonts w:ascii="Calibri" w:hAnsi="Calibri" w:cs="Calibri"/>
        </w:rPr>
        <w:t>,</w:t>
      </w:r>
      <w:r w:rsidRPr="00240534">
        <w:rPr>
          <w:rFonts w:ascii="Calibri" w:hAnsi="Calibri" w:cs="Calibri"/>
        </w:rPr>
        <w:t xml:space="preserve"> can be expressed as</w:t>
      </w:r>
    </w:p>
    <w:p w:rsidR="0096538F" w:rsidRPr="00240534" w:rsidRDefault="0096538F" w:rsidP="00240534">
      <w:pPr>
        <w:spacing w:line="240" w:lineRule="auto"/>
        <w:jc w:val="both"/>
        <w:rPr>
          <w:rFonts w:ascii="Calibri" w:hAnsi="Calibri" w:cs="Calibri"/>
        </w:rPr>
      </w:pPr>
    </w:p>
    <w:p w:rsidR="00D93B73" w:rsidRPr="00240534" w:rsidRDefault="00462FAB" w:rsidP="00240534">
      <w:pPr>
        <w:spacing w:line="240" w:lineRule="auto"/>
        <w:rPr>
          <w:rFonts w:ascii="Calibri" w:eastAsiaTheme="minorEastAsia" w:hAnsi="Calibri" w:cs="Calibri"/>
          <w:color w:val="FF0000"/>
        </w:rPr>
      </w:pPr>
      <m:oMathPara>
        <m:oMathParaPr>
          <m:jc m:val="left"/>
        </m:oMathParaPr>
        <m:oMath>
          <m:r>
            <m:rPr>
              <m:sty m:val="p"/>
            </m:rPr>
            <w:rPr>
              <w:rFonts w:ascii="Cambria Math" w:hAnsi="Cambria Math" w:cs="Calibri"/>
              <w:color w:val="000000" w:themeColor="text1"/>
            </w:rPr>
            <m:t>Top =</m:t>
          </m:r>
          <m:d>
            <m:dPr>
              <m:ctrlPr>
                <w:rPr>
                  <w:rFonts w:ascii="Cambria Math" w:hAnsi="Cambria Math" w:cs="Calibri"/>
                  <w:color w:val="000000" w:themeColor="text1"/>
                </w:rPr>
              </m:ctrlPr>
            </m:dPr>
            <m:e>
              <m:r>
                <m:rPr>
                  <m:sty m:val="p"/>
                </m:rPr>
                <w:rPr>
                  <w:rFonts w:ascii="Cambria Math" w:hAnsi="Cambria Math" w:cs="Calibri"/>
                  <w:color w:val="000000" w:themeColor="text1"/>
                </w:rPr>
                <m:t>MotSA+VehSA+</m:t>
              </m:r>
              <m:d>
                <m:dPr>
                  <m:ctrlPr>
                    <w:rPr>
                      <w:rFonts w:ascii="Cambria Math" w:hAnsi="Cambria Math" w:cs="Calibri"/>
                      <w:color w:val="000000" w:themeColor="text1"/>
                    </w:rPr>
                  </m:ctrlPr>
                </m:dPr>
                <m:e>
                  <m:r>
                    <m:rPr>
                      <m:sty m:val="p"/>
                    </m:rPr>
                    <w:rPr>
                      <w:rFonts w:ascii="Cambria Math" w:hAnsi="Cambria Math" w:cs="Calibri"/>
                      <w:color w:val="000000" w:themeColor="text1"/>
                    </w:rPr>
                    <m:t>Adm&lt;SupA+SupA&amp;SupB</m:t>
                  </m:r>
                </m:e>
              </m:d>
            </m:e>
          </m:d>
          <m:r>
            <m:rPr>
              <m:sty m:val="p"/>
            </m:rPr>
            <w:rPr>
              <w:rFonts w:ascii="Cambria Math" w:hAnsi="Cambria Math" w:cs="Calibri"/>
              <w:color w:val="000000" w:themeColor="text1"/>
            </w:rPr>
            <m:t>.</m:t>
          </m:r>
          <m:d>
            <m:dPr>
              <m:ctrlPr>
                <w:rPr>
                  <w:rFonts w:ascii="Cambria Math" w:hAnsi="Cambria Math" w:cs="Calibri"/>
                  <w:color w:val="000000" w:themeColor="text1"/>
                </w:rPr>
              </m:ctrlPr>
            </m:dPr>
            <m:e>
              <m:r>
                <m:rPr>
                  <m:sty m:val="p"/>
                </m:rPr>
                <w:rPr>
                  <w:rFonts w:ascii="Cambria Math" w:hAnsi="Cambria Math" w:cs="Calibri"/>
                  <w:color w:val="000000" w:themeColor="text1"/>
                </w:rPr>
                <m:t>MotSC+VehSC+SupC</m:t>
              </m:r>
            </m:e>
          </m:d>
          <m:r>
            <m:rPr>
              <m:sty m:val="p"/>
            </m:rPr>
            <w:rPr>
              <w:rFonts w:ascii="Cambria Math" w:hAnsi="Cambria Math" w:cs="Calibri"/>
              <w:color w:val="000000" w:themeColor="text1"/>
            </w:rPr>
            <m:t>+(MotSD+VehSD+SupD)+</m:t>
          </m:r>
          <m:d>
            <m:dPr>
              <m:ctrlPr>
                <w:rPr>
                  <w:rFonts w:ascii="Cambria Math" w:hAnsi="Cambria Math" w:cs="Calibri"/>
                  <w:color w:val="000000" w:themeColor="text1"/>
                </w:rPr>
              </m:ctrlPr>
            </m:dPr>
            <m:e>
              <m:d>
                <m:dPr>
                  <m:ctrlPr>
                    <w:rPr>
                      <w:rFonts w:ascii="Cambria Math" w:hAnsi="Cambria Math" w:cs="Calibri"/>
                      <w:color w:val="000000" w:themeColor="text1"/>
                    </w:rPr>
                  </m:ctrlPr>
                </m:dPr>
                <m:e>
                  <m:r>
                    <m:rPr>
                      <m:sty m:val="p"/>
                    </m:rPr>
                    <w:rPr>
                      <w:rFonts w:ascii="Cambria Math" w:hAnsi="Cambria Math" w:cs="Calibri"/>
                      <w:color w:val="000000" w:themeColor="text1"/>
                    </w:rPr>
                    <m:t>SupA.SupB</m:t>
                  </m:r>
                </m:e>
              </m:d>
            </m:e>
            <m:e>
              <m:r>
                <m:rPr>
                  <m:sty m:val="p"/>
                </m:rPr>
                <w:rPr>
                  <w:rFonts w:ascii="Cambria Math" w:hAnsi="Cambria Math" w:cs="Calibri"/>
                  <w:color w:val="000000" w:themeColor="text1"/>
                </w:rPr>
                <m:t>SupC</m:t>
              </m:r>
            </m:e>
          </m:d>
        </m:oMath>
      </m:oMathPara>
    </w:p>
    <w:p w:rsidR="00D93B73" w:rsidRPr="00240534" w:rsidRDefault="00D93B73" w:rsidP="00240534">
      <w:pPr>
        <w:spacing w:line="240" w:lineRule="auto"/>
        <w:rPr>
          <w:rFonts w:ascii="Calibri" w:eastAsiaTheme="minorEastAsia" w:hAnsi="Calibri" w:cs="Calibri"/>
        </w:rPr>
      </w:pPr>
    </w:p>
    <w:p w:rsidR="0096538F" w:rsidRPr="00240534" w:rsidRDefault="0096538F" w:rsidP="00240534">
      <w:pPr>
        <w:spacing w:line="240" w:lineRule="auto"/>
        <w:jc w:val="both"/>
        <w:rPr>
          <w:rFonts w:ascii="Calibri" w:hAnsi="Calibri" w:cs="Calibri"/>
        </w:rPr>
      </w:pPr>
      <w:r w:rsidRPr="00240534">
        <w:rPr>
          <w:rFonts w:ascii="Calibri" w:hAnsi="Calibri" w:cs="Calibri"/>
        </w:rPr>
        <w:t xml:space="preserve">Using the Euripides algorithm </w:t>
      </w:r>
      <w:r w:rsidR="002D4D82" w:rsidRPr="00240534">
        <w:rPr>
          <w:rFonts w:ascii="Calibri" w:hAnsi="Calibri" w:cs="Calibri"/>
        </w:rPr>
        <w:fldChar w:fldCharType="begin" w:fldLock="1"/>
      </w:r>
      <w:r w:rsidR="00B519DB" w:rsidRPr="00240534">
        <w:rPr>
          <w:rFonts w:ascii="Calibri" w:hAnsi="Calibri" w:cs="Calibri"/>
        </w:rPr>
        <w:instrText>ADDIN CSL_CITATION { "citationItems" : [ { "id" : "ITEM-1", "itemData" : { "author" : [ { "dropping-particle" : "", "family" : "Walker", "given" : "MD", "non-dropping-particle" : "", "parse-names" : false, "suffix" : "" } ], "id" : "ITEM-1", "issue" : "May", "issued" : { "date-parts" : [ [ "2009" ] ] }, "number-of-pages" : "299", "publisher" : "University of Hull", "title" : "Pandora: A Logic for the Qualitative Analysis of Temporal Fault Trees", "type" : "thesis" }, "uris" : [ "http://www.mendeley.com/documents/?uuid=870576ed-8a06-461e-a1bd-70fccdeb5487" ] } ], "mendeley" : { "formattedCitation" : "(Walker, 2009)", "plainTextFormattedCitation" : "(Walker, 2009)", "previouslyFormattedCitation" : "(Walker, 2009)" }, "properties" : { "noteIndex" : 0 }, "schema" : "https://github.com/citation-style-language/schema/raw/master/csl-citation.json" }</w:instrText>
      </w:r>
      <w:r w:rsidR="002D4D82" w:rsidRPr="00240534">
        <w:rPr>
          <w:rFonts w:ascii="Calibri" w:hAnsi="Calibri" w:cs="Calibri"/>
        </w:rPr>
        <w:fldChar w:fldCharType="separate"/>
      </w:r>
      <w:r w:rsidR="00155829" w:rsidRPr="00240534">
        <w:rPr>
          <w:rFonts w:ascii="Calibri" w:hAnsi="Calibri" w:cs="Calibri"/>
          <w:noProof/>
        </w:rPr>
        <w:t>(Walker, 2009)</w:t>
      </w:r>
      <w:r w:rsidR="002D4D82" w:rsidRPr="00240534">
        <w:rPr>
          <w:rFonts w:ascii="Calibri" w:hAnsi="Calibri" w:cs="Calibri"/>
        </w:rPr>
        <w:fldChar w:fldCharType="end"/>
      </w:r>
      <w:r w:rsidRPr="00240534">
        <w:rPr>
          <w:rFonts w:ascii="Calibri" w:hAnsi="Calibri" w:cs="Calibri"/>
        </w:rPr>
        <w:t>, the minimal cut sequences</w:t>
      </w:r>
      <w:r w:rsidR="00397529" w:rsidRPr="00240534">
        <w:rPr>
          <w:rFonts w:ascii="Calibri" w:hAnsi="Calibri" w:cs="Calibri"/>
        </w:rPr>
        <w:t xml:space="preserve"> (MCSQs)</w:t>
      </w:r>
      <w:r w:rsidRPr="00240534">
        <w:rPr>
          <w:rFonts w:ascii="Calibri" w:hAnsi="Calibri" w:cs="Calibri"/>
        </w:rPr>
        <w:t xml:space="preserve"> from the above expression are:</w:t>
      </w:r>
    </w:p>
    <w:p w:rsidR="0096538F" w:rsidRPr="00240534" w:rsidRDefault="0096538F" w:rsidP="00240534">
      <w:pPr>
        <w:spacing w:line="240" w:lineRule="auto"/>
        <w:jc w:val="both"/>
        <w:rPr>
          <w:rFonts w:ascii="Calibri" w:hAnsi="Calibri" w:cs="Calibri"/>
        </w:rPr>
      </w:pPr>
    </w:p>
    <w:p w:rsidR="0096538F" w:rsidRPr="00240534" w:rsidRDefault="00462FAB" w:rsidP="00240534">
      <w:pPr>
        <w:spacing w:line="240" w:lineRule="auto"/>
        <w:jc w:val="both"/>
        <w:rPr>
          <w:rFonts w:ascii="Calibri" w:hAnsi="Calibri" w:cs="Calibri"/>
          <w:color w:val="FF0000"/>
        </w:rPr>
      </w:pPr>
      <m:oMathPara>
        <m:oMathParaPr>
          <m:jc m:val="left"/>
        </m:oMathParaPr>
        <m:oMath>
          <m:r>
            <m:rPr>
              <m:sty m:val="p"/>
            </m:rPr>
            <w:rPr>
              <w:rFonts w:ascii="Cambria Math" w:hAnsi="Cambria Math" w:cs="Calibri"/>
              <w:color w:val="000000" w:themeColor="text1"/>
            </w:rPr>
            <m:t>Top =SupD+VehSD+MotSD+</m:t>
          </m:r>
          <m:d>
            <m:dPr>
              <m:ctrlPr>
                <w:rPr>
                  <w:rFonts w:ascii="Cambria Math" w:hAnsi="Cambria Math" w:cs="Calibri"/>
                  <w:color w:val="000000" w:themeColor="text1"/>
                </w:rPr>
              </m:ctrlPr>
            </m:dPr>
            <m:e>
              <m:r>
                <m:rPr>
                  <m:sty m:val="p"/>
                </m:rPr>
                <w:rPr>
                  <w:rFonts w:ascii="Cambria Math" w:hAnsi="Cambria Math" w:cs="Calibri"/>
                  <w:color w:val="000000" w:themeColor="text1"/>
                </w:rPr>
                <m:t>SupA.SupB</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r>
                <m:rPr>
                  <m:sty m:val="p"/>
                </m:rPr>
                <w:rPr>
                  <w:rFonts w:ascii="Cambria Math" w:hAnsi="Cambria Math" w:cs="Calibri"/>
                  <w:color w:val="000000" w:themeColor="text1"/>
                </w:rPr>
                <m:t>MotSA.SupC</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r>
                <m:rPr>
                  <m:sty m:val="p"/>
                </m:rPr>
                <w:rPr>
                  <w:rFonts w:ascii="Cambria Math" w:hAnsi="Cambria Math" w:cs="Calibri"/>
                  <w:color w:val="000000" w:themeColor="text1"/>
                </w:rPr>
                <m:t>MotSA.MotSC</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r>
                <m:rPr>
                  <m:sty m:val="p"/>
                </m:rPr>
                <w:rPr>
                  <w:rFonts w:ascii="Cambria Math" w:hAnsi="Cambria Math" w:cs="Calibri"/>
                  <w:color w:val="000000" w:themeColor="text1"/>
                </w:rPr>
                <m:t>MotSA.VehSC</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r>
                <m:rPr>
                  <m:sty m:val="p"/>
                </m:rPr>
                <w:rPr>
                  <w:rFonts w:ascii="Cambria Math" w:hAnsi="Cambria Math" w:cs="Calibri"/>
                  <w:color w:val="000000" w:themeColor="text1"/>
                </w:rPr>
                <m:t>SupC.VehSA</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r>
                <m:rPr>
                  <m:sty m:val="p"/>
                </m:rPr>
                <w:rPr>
                  <w:rFonts w:ascii="Cambria Math" w:hAnsi="Cambria Math" w:cs="Calibri"/>
                  <w:color w:val="000000" w:themeColor="text1"/>
                </w:rPr>
                <m:t>MotSC.VehSA</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r>
                <m:rPr>
                  <m:sty m:val="p"/>
                </m:rPr>
                <w:rPr>
                  <w:rFonts w:ascii="Cambria Math" w:hAnsi="Cambria Math" w:cs="Calibri"/>
                  <w:color w:val="000000" w:themeColor="text1"/>
                </w:rPr>
                <m:t>VehSA.VehSC</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d>
                <m:dPr>
                  <m:ctrlPr>
                    <w:rPr>
                      <w:rFonts w:ascii="Cambria Math" w:hAnsi="Cambria Math" w:cs="Calibri"/>
                      <w:color w:val="000000" w:themeColor="text1"/>
                    </w:rPr>
                  </m:ctrlPr>
                </m:dPr>
                <m:e>
                  <m:r>
                    <m:rPr>
                      <m:sty m:val="p"/>
                    </m:rPr>
                    <w:rPr>
                      <w:rFonts w:ascii="Cambria Math" w:hAnsi="Cambria Math" w:cs="Calibri"/>
                      <w:color w:val="000000" w:themeColor="text1"/>
                    </w:rPr>
                    <m:t>Adm&lt;SupA</m:t>
                  </m:r>
                </m:e>
              </m:d>
              <m:r>
                <m:rPr>
                  <m:sty m:val="p"/>
                </m:rPr>
                <w:rPr>
                  <w:rFonts w:ascii="Cambria Math" w:hAnsi="Cambria Math" w:cs="Calibri"/>
                  <w:color w:val="000000" w:themeColor="text1"/>
                </w:rPr>
                <m:t>.SupC</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d>
                <m:dPr>
                  <m:ctrlPr>
                    <w:rPr>
                      <w:rFonts w:ascii="Cambria Math" w:hAnsi="Cambria Math" w:cs="Calibri"/>
                      <w:color w:val="000000" w:themeColor="text1"/>
                    </w:rPr>
                  </m:ctrlPr>
                </m:dPr>
                <m:e>
                  <m:r>
                    <m:rPr>
                      <m:sty m:val="p"/>
                    </m:rPr>
                    <w:rPr>
                      <w:rFonts w:ascii="Cambria Math" w:hAnsi="Cambria Math" w:cs="Calibri"/>
                      <w:color w:val="000000" w:themeColor="text1"/>
                    </w:rPr>
                    <m:t>Adm&lt;SupA</m:t>
                  </m:r>
                </m:e>
              </m:d>
              <m:r>
                <m:rPr>
                  <m:sty m:val="p"/>
                </m:rPr>
                <w:rPr>
                  <w:rFonts w:ascii="Cambria Math" w:hAnsi="Cambria Math" w:cs="Calibri"/>
                  <w:color w:val="000000" w:themeColor="text1"/>
                </w:rPr>
                <m:t>.MotSC</m:t>
              </m:r>
            </m:e>
          </m:d>
          <m:r>
            <m:rPr>
              <m:sty m:val="p"/>
            </m:rPr>
            <w:rPr>
              <w:rFonts w:ascii="Cambria Math" w:hAnsi="Cambria Math" w:cs="Calibri"/>
              <w:color w:val="000000" w:themeColor="text1"/>
            </w:rPr>
            <m:t>+</m:t>
          </m:r>
          <m:d>
            <m:dPr>
              <m:ctrlPr>
                <w:rPr>
                  <w:rFonts w:ascii="Cambria Math" w:hAnsi="Cambria Math" w:cs="Calibri"/>
                  <w:color w:val="000000" w:themeColor="text1"/>
                </w:rPr>
              </m:ctrlPr>
            </m:dPr>
            <m:e>
              <m:d>
                <m:dPr>
                  <m:ctrlPr>
                    <w:rPr>
                      <w:rFonts w:ascii="Cambria Math" w:hAnsi="Cambria Math" w:cs="Calibri"/>
                      <w:color w:val="000000" w:themeColor="text1"/>
                    </w:rPr>
                  </m:ctrlPr>
                </m:dPr>
                <m:e>
                  <m:r>
                    <m:rPr>
                      <m:sty m:val="p"/>
                    </m:rPr>
                    <w:rPr>
                      <w:rFonts w:ascii="Cambria Math" w:hAnsi="Cambria Math" w:cs="Calibri"/>
                      <w:color w:val="000000" w:themeColor="text1"/>
                    </w:rPr>
                    <m:t>Adm&lt;SupA</m:t>
                  </m:r>
                </m:e>
              </m:d>
              <m:r>
                <m:rPr>
                  <m:sty m:val="p"/>
                </m:rPr>
                <w:rPr>
                  <w:rFonts w:ascii="Cambria Math" w:hAnsi="Cambria Math" w:cs="Calibri"/>
                  <w:color w:val="000000" w:themeColor="text1"/>
                </w:rPr>
                <m:t>.VehSC</m:t>
              </m:r>
            </m:e>
          </m:d>
        </m:oMath>
      </m:oMathPara>
    </w:p>
    <w:p w:rsidR="0096538F" w:rsidRPr="00240534" w:rsidRDefault="0096538F" w:rsidP="00240534">
      <w:pPr>
        <w:spacing w:line="240" w:lineRule="auto"/>
        <w:jc w:val="both"/>
        <w:rPr>
          <w:rFonts w:ascii="Calibri" w:hAnsi="Calibri" w:cs="Calibri"/>
        </w:rPr>
      </w:pPr>
    </w:p>
    <w:p w:rsidR="007A3D13" w:rsidRPr="00240534" w:rsidRDefault="00654F7A" w:rsidP="00240534">
      <w:pPr>
        <w:spacing w:line="240" w:lineRule="auto"/>
        <w:jc w:val="both"/>
        <w:rPr>
          <w:rFonts w:ascii="Calibri" w:hAnsi="Calibri" w:cs="Calibri"/>
        </w:rPr>
      </w:pPr>
      <w:r w:rsidRPr="00240534">
        <w:rPr>
          <w:rFonts w:ascii="Calibri" w:hAnsi="Calibri" w:cs="Calibri"/>
        </w:rPr>
        <w:t xml:space="preserve">The MCSQs above are the combinations </w:t>
      </w:r>
      <w:r w:rsidR="008D4C43" w:rsidRPr="00240534">
        <w:rPr>
          <w:rFonts w:ascii="Calibri" w:hAnsi="Calibri" w:cs="Calibri"/>
        </w:rPr>
        <w:t xml:space="preserve">basic events </w:t>
      </w:r>
      <w:r w:rsidRPr="00240534">
        <w:rPr>
          <w:rFonts w:ascii="Calibri" w:hAnsi="Calibri" w:cs="Calibri"/>
        </w:rPr>
        <w:t>that</w:t>
      </w:r>
      <w:r w:rsidR="00DE3207" w:rsidRPr="00240534">
        <w:rPr>
          <w:rFonts w:ascii="Calibri" w:hAnsi="Calibri" w:cs="Calibri"/>
        </w:rPr>
        <w:t xml:space="preserve"> distinctively lead</w:t>
      </w:r>
      <w:r w:rsidRPr="00240534">
        <w:rPr>
          <w:rFonts w:ascii="Calibri" w:hAnsi="Calibri" w:cs="Calibri"/>
        </w:rPr>
        <w:t xml:space="preserve"> to the top-event occurring; it can be considered as the most effective configuration of Kelso’s suppl</w:t>
      </w:r>
      <w:r w:rsidR="00523BE0" w:rsidRPr="00240534">
        <w:rPr>
          <w:rFonts w:ascii="Calibri" w:hAnsi="Calibri" w:cs="Calibri"/>
        </w:rPr>
        <w:t>y</w:t>
      </w:r>
      <w:r w:rsidRPr="00240534">
        <w:rPr>
          <w:rFonts w:ascii="Calibri" w:hAnsi="Calibri" w:cs="Calibri"/>
        </w:rPr>
        <w:t xml:space="preserve"> network. </w:t>
      </w:r>
      <w:r w:rsidR="007A3D13" w:rsidRPr="00240534">
        <w:rPr>
          <w:rFonts w:ascii="Calibri" w:hAnsi="Calibri" w:cs="Calibri"/>
        </w:rPr>
        <w:t>Immediately, it is clear that the single points of failure are Supplier</w:t>
      </w:r>
      <w:r w:rsidR="00FF5F6B" w:rsidRPr="00240534">
        <w:rPr>
          <w:rFonts w:ascii="Calibri" w:hAnsi="Calibri" w:cs="Calibri"/>
        </w:rPr>
        <w:t>-</w:t>
      </w:r>
      <w:r w:rsidR="007A3D13" w:rsidRPr="00240534">
        <w:rPr>
          <w:rFonts w:ascii="Calibri" w:hAnsi="Calibri" w:cs="Calibri"/>
        </w:rPr>
        <w:t>D</w:t>
      </w:r>
      <w:r w:rsidR="00FF5F6B" w:rsidRPr="00240534">
        <w:rPr>
          <w:rFonts w:ascii="Calibri" w:hAnsi="Calibri" w:cs="Calibri"/>
        </w:rPr>
        <w:t xml:space="preserve"> (SupD)</w:t>
      </w:r>
      <w:r w:rsidR="007A3D13" w:rsidRPr="00240534">
        <w:rPr>
          <w:rFonts w:ascii="Calibri" w:hAnsi="Calibri" w:cs="Calibri"/>
        </w:rPr>
        <w:t>, Haulier</w:t>
      </w:r>
      <w:r w:rsidR="00FF5F6B" w:rsidRPr="00240534">
        <w:rPr>
          <w:rFonts w:ascii="Calibri" w:hAnsi="Calibri" w:cs="Calibri"/>
        </w:rPr>
        <w:t>-</w:t>
      </w:r>
      <w:r w:rsidR="007A3D13" w:rsidRPr="00240534">
        <w:rPr>
          <w:rFonts w:ascii="Calibri" w:hAnsi="Calibri" w:cs="Calibri"/>
        </w:rPr>
        <w:t>C</w:t>
      </w:r>
      <w:r w:rsidR="00FF5F6B" w:rsidRPr="00240534">
        <w:rPr>
          <w:rFonts w:ascii="Calibri" w:hAnsi="Calibri" w:cs="Calibri"/>
        </w:rPr>
        <w:t>’s vehicle to Supplier-D (VehSD) and the m</w:t>
      </w:r>
      <w:r w:rsidR="007A3D13" w:rsidRPr="00240534">
        <w:rPr>
          <w:rFonts w:ascii="Calibri" w:hAnsi="Calibri" w:cs="Calibri"/>
        </w:rPr>
        <w:t xml:space="preserve">otorway </w:t>
      </w:r>
      <w:r w:rsidR="00FF5F6B" w:rsidRPr="00240534">
        <w:rPr>
          <w:rFonts w:ascii="Calibri" w:hAnsi="Calibri" w:cs="Calibri"/>
        </w:rPr>
        <w:t>VehSD</w:t>
      </w:r>
      <w:r w:rsidR="007A3D13" w:rsidRPr="00240534">
        <w:rPr>
          <w:rFonts w:ascii="Calibri" w:hAnsi="Calibri" w:cs="Calibri"/>
        </w:rPr>
        <w:t xml:space="preserve"> uses </w:t>
      </w:r>
      <w:r w:rsidR="00FF5F6B" w:rsidRPr="00240534">
        <w:rPr>
          <w:rFonts w:ascii="Calibri" w:hAnsi="Calibri" w:cs="Calibri"/>
        </w:rPr>
        <w:t>(MotSD)</w:t>
      </w:r>
      <w:r w:rsidR="007A3D13" w:rsidRPr="00240534">
        <w:rPr>
          <w:rFonts w:ascii="Calibri" w:hAnsi="Calibri" w:cs="Calibri"/>
        </w:rPr>
        <w:t xml:space="preserve">. </w:t>
      </w:r>
      <w:r w:rsidR="00BA18E9" w:rsidRPr="00240534">
        <w:rPr>
          <w:rFonts w:ascii="Calibri" w:hAnsi="Calibri" w:cs="Calibri"/>
        </w:rPr>
        <w:t>However</w:t>
      </w:r>
      <w:r w:rsidR="00B73D87" w:rsidRPr="00240534">
        <w:rPr>
          <w:rFonts w:ascii="Calibri" w:hAnsi="Calibri" w:cs="Calibri"/>
        </w:rPr>
        <w:t>, the expression does not provide any</w:t>
      </w:r>
      <w:r w:rsidR="00A00F15" w:rsidRPr="00240534">
        <w:rPr>
          <w:rFonts w:ascii="Calibri" w:hAnsi="Calibri" w:cs="Calibri"/>
        </w:rPr>
        <w:t xml:space="preserve"> indication of which events are critical and contribute most to the occurrence of the top event, that is, failure in order fulfilment.</w:t>
      </w:r>
      <w:r w:rsidR="00D56C00" w:rsidRPr="00240534">
        <w:rPr>
          <w:rFonts w:ascii="Calibri" w:hAnsi="Calibri" w:cs="Calibri"/>
        </w:rPr>
        <w:t xml:space="preserve"> To determine the contribution of each event to the occurrence of the top event, each event need to be assigned failure rates. Again, for the sake of demonstration, the </w:t>
      </w:r>
      <w:r w:rsidR="00392982" w:rsidRPr="00240534">
        <w:rPr>
          <w:rFonts w:ascii="Calibri" w:hAnsi="Calibri" w:cs="Calibri"/>
        </w:rPr>
        <w:t>failure data (restricted to exponential distribution)</w:t>
      </w:r>
      <w:r w:rsidR="00D3368D" w:rsidRPr="00240534">
        <w:rPr>
          <w:rFonts w:ascii="Calibri" w:hAnsi="Calibri" w:cs="Calibri"/>
        </w:rPr>
        <w:t xml:space="preserve"> in Table 1 </w:t>
      </w:r>
      <w:r w:rsidR="00D56C00" w:rsidRPr="00240534">
        <w:rPr>
          <w:rFonts w:ascii="Calibri" w:hAnsi="Calibri" w:cs="Calibri"/>
        </w:rPr>
        <w:t>are assumed</w:t>
      </w:r>
      <w:r w:rsidR="00D3368D" w:rsidRPr="00240534">
        <w:rPr>
          <w:rFonts w:ascii="Calibri" w:hAnsi="Calibri" w:cs="Calibri"/>
        </w:rPr>
        <w:t>.</w:t>
      </w:r>
      <w:r w:rsidR="00C05FB6" w:rsidRPr="00240534">
        <w:rPr>
          <w:rFonts w:ascii="Calibri" w:hAnsi="Calibri" w:cs="Calibri"/>
        </w:rPr>
        <w:t xml:space="preserve"> </w:t>
      </w:r>
    </w:p>
    <w:p w:rsidR="00D56C00" w:rsidRDefault="00D56C00" w:rsidP="00240534">
      <w:pPr>
        <w:spacing w:line="240" w:lineRule="auto"/>
        <w:jc w:val="both"/>
        <w:rPr>
          <w:rFonts w:ascii="Calibri" w:hAnsi="Calibri" w:cs="Calibri"/>
        </w:rPr>
      </w:pPr>
    </w:p>
    <w:p w:rsidR="00240534" w:rsidRDefault="00240534" w:rsidP="00240534">
      <w:pPr>
        <w:spacing w:line="240" w:lineRule="auto"/>
        <w:jc w:val="both"/>
        <w:rPr>
          <w:rFonts w:ascii="Calibri" w:hAnsi="Calibri" w:cs="Calibri"/>
        </w:rPr>
      </w:pPr>
    </w:p>
    <w:p w:rsidR="00240534" w:rsidRDefault="00240534" w:rsidP="00240534">
      <w:pPr>
        <w:spacing w:line="240" w:lineRule="auto"/>
        <w:jc w:val="both"/>
        <w:rPr>
          <w:rFonts w:ascii="Calibri" w:hAnsi="Calibri" w:cs="Calibri"/>
        </w:rPr>
      </w:pPr>
    </w:p>
    <w:p w:rsidR="00240534" w:rsidRPr="00240534" w:rsidRDefault="00240534" w:rsidP="00240534">
      <w:pPr>
        <w:spacing w:line="240" w:lineRule="auto"/>
        <w:jc w:val="both"/>
        <w:rPr>
          <w:rFonts w:ascii="Calibri" w:hAnsi="Calibri" w:cs="Calibri"/>
        </w:rPr>
      </w:pPr>
    </w:p>
    <w:tbl>
      <w:tblPr>
        <w:tblStyle w:val="TableGrid"/>
        <w:tblW w:w="0" w:type="auto"/>
        <w:jc w:val="center"/>
        <w:tblLook w:val="04A0" w:firstRow="1" w:lastRow="0" w:firstColumn="1" w:lastColumn="0" w:noHBand="0" w:noVBand="1"/>
      </w:tblPr>
      <w:tblGrid>
        <w:gridCol w:w="3338"/>
        <w:gridCol w:w="2126"/>
      </w:tblGrid>
      <w:tr w:rsidR="00D364F6" w:rsidRPr="00240534" w:rsidTr="008907D3">
        <w:trPr>
          <w:jc w:val="center"/>
        </w:trPr>
        <w:tc>
          <w:tcPr>
            <w:tcW w:w="3338" w:type="dxa"/>
          </w:tcPr>
          <w:p w:rsidR="00D364F6" w:rsidRPr="00240534" w:rsidRDefault="00D364F6" w:rsidP="00240534">
            <w:pPr>
              <w:jc w:val="both"/>
              <w:rPr>
                <w:rFonts w:ascii="Calibri" w:hAnsi="Calibri" w:cs="Calibri"/>
                <w:i/>
              </w:rPr>
            </w:pPr>
            <w:r w:rsidRPr="00240534">
              <w:rPr>
                <w:rFonts w:ascii="Calibri" w:hAnsi="Calibri" w:cs="Calibri"/>
                <w:i/>
              </w:rPr>
              <w:lastRenderedPageBreak/>
              <w:t>Event</w:t>
            </w:r>
          </w:p>
        </w:tc>
        <w:tc>
          <w:tcPr>
            <w:tcW w:w="2126" w:type="dxa"/>
          </w:tcPr>
          <w:p w:rsidR="00D364F6" w:rsidRPr="00240534" w:rsidRDefault="00D364F6" w:rsidP="00240534">
            <w:pPr>
              <w:jc w:val="both"/>
              <w:rPr>
                <w:rFonts w:ascii="Calibri" w:hAnsi="Calibri" w:cs="Calibri"/>
                <w:i/>
              </w:rPr>
            </w:pPr>
            <w:r w:rsidRPr="00240534">
              <w:rPr>
                <w:rFonts w:ascii="Calibri" w:hAnsi="Calibri" w:cs="Calibri"/>
                <w:i/>
              </w:rPr>
              <w:t xml:space="preserve">Failure rate </w:t>
            </w:r>
            <w:r w:rsidRPr="00240534">
              <w:rPr>
                <w:rFonts w:ascii="Calibri" w:eastAsiaTheme="minorEastAsia" w:hAnsi="Calibri" w:cs="Calibri"/>
                <w:i/>
              </w:rPr>
              <w:t>per hour</w:t>
            </w:r>
          </w:p>
        </w:tc>
      </w:tr>
      <w:tr w:rsidR="00D364F6" w:rsidRPr="00240534" w:rsidTr="008907D3">
        <w:trPr>
          <w:jc w:val="center"/>
        </w:trPr>
        <w:tc>
          <w:tcPr>
            <w:tcW w:w="3338" w:type="dxa"/>
          </w:tcPr>
          <w:p w:rsidR="00D364F6" w:rsidRPr="00240534" w:rsidRDefault="00D364F6" w:rsidP="00240534">
            <w:pPr>
              <w:jc w:val="both"/>
              <w:rPr>
                <w:rFonts w:ascii="Calibri" w:hAnsi="Calibri" w:cs="Calibri"/>
              </w:rPr>
            </w:pPr>
            <w:proofErr w:type="spellStart"/>
            <w:r w:rsidRPr="00240534">
              <w:rPr>
                <w:rFonts w:ascii="Calibri" w:hAnsi="Calibri" w:cs="Calibri"/>
              </w:rPr>
              <w:t>VehSA</w:t>
            </w:r>
            <w:proofErr w:type="spellEnd"/>
            <w:r w:rsidRPr="00240534">
              <w:rPr>
                <w:rFonts w:ascii="Calibri" w:hAnsi="Calibri" w:cs="Calibri"/>
              </w:rPr>
              <w:t xml:space="preserve">, </w:t>
            </w:r>
            <w:proofErr w:type="spellStart"/>
            <w:r w:rsidRPr="00240534">
              <w:rPr>
                <w:rFonts w:ascii="Calibri" w:hAnsi="Calibri" w:cs="Calibri"/>
              </w:rPr>
              <w:t>VehSB</w:t>
            </w:r>
            <w:proofErr w:type="spellEnd"/>
            <w:r w:rsidRPr="00240534">
              <w:rPr>
                <w:rFonts w:ascii="Calibri" w:hAnsi="Calibri" w:cs="Calibri"/>
              </w:rPr>
              <w:t xml:space="preserve">, </w:t>
            </w:r>
            <w:proofErr w:type="spellStart"/>
            <w:r w:rsidRPr="00240534">
              <w:rPr>
                <w:rFonts w:ascii="Calibri" w:hAnsi="Calibri" w:cs="Calibri"/>
              </w:rPr>
              <w:t>VehSC</w:t>
            </w:r>
            <w:proofErr w:type="spellEnd"/>
            <w:r w:rsidRPr="00240534">
              <w:rPr>
                <w:rFonts w:ascii="Calibri" w:hAnsi="Calibri" w:cs="Calibri"/>
              </w:rPr>
              <w:t xml:space="preserve">, </w:t>
            </w:r>
            <w:proofErr w:type="spellStart"/>
            <w:r w:rsidRPr="00240534">
              <w:rPr>
                <w:rFonts w:ascii="Calibri" w:hAnsi="Calibri" w:cs="Calibri"/>
              </w:rPr>
              <w:t>VehSD</w:t>
            </w:r>
            <w:proofErr w:type="spellEnd"/>
          </w:p>
        </w:tc>
        <w:tc>
          <w:tcPr>
            <w:tcW w:w="2126" w:type="dxa"/>
          </w:tcPr>
          <w:p w:rsidR="00D364F6" w:rsidRPr="00240534" w:rsidRDefault="00D364F6" w:rsidP="00240534">
            <w:pPr>
              <w:jc w:val="both"/>
              <w:rPr>
                <w:rFonts w:ascii="Calibri" w:hAnsi="Calibri" w:cs="Calibri"/>
              </w:rPr>
            </w:pPr>
            <w:r w:rsidRPr="00240534">
              <w:rPr>
                <w:rFonts w:ascii="Calibri" w:hAnsi="Calibri" w:cs="Calibri"/>
              </w:rPr>
              <w:t>2.354E-8</w:t>
            </w:r>
          </w:p>
        </w:tc>
      </w:tr>
      <w:tr w:rsidR="00D364F6" w:rsidRPr="00240534" w:rsidTr="008907D3">
        <w:trPr>
          <w:jc w:val="center"/>
        </w:trPr>
        <w:tc>
          <w:tcPr>
            <w:tcW w:w="3338" w:type="dxa"/>
          </w:tcPr>
          <w:p w:rsidR="00D364F6" w:rsidRPr="00240534" w:rsidRDefault="00D364F6" w:rsidP="00240534">
            <w:pPr>
              <w:jc w:val="both"/>
              <w:rPr>
                <w:rFonts w:ascii="Calibri" w:hAnsi="Calibri" w:cs="Calibri"/>
              </w:rPr>
            </w:pPr>
            <w:proofErr w:type="spellStart"/>
            <w:r w:rsidRPr="00240534">
              <w:rPr>
                <w:rFonts w:ascii="Calibri" w:hAnsi="Calibri" w:cs="Calibri"/>
              </w:rPr>
              <w:t>MotSA</w:t>
            </w:r>
            <w:proofErr w:type="spellEnd"/>
            <w:r w:rsidRPr="00240534">
              <w:rPr>
                <w:rFonts w:ascii="Calibri" w:hAnsi="Calibri" w:cs="Calibri"/>
              </w:rPr>
              <w:t xml:space="preserve">, </w:t>
            </w:r>
            <w:proofErr w:type="spellStart"/>
            <w:r w:rsidRPr="00240534">
              <w:rPr>
                <w:rFonts w:ascii="Calibri" w:hAnsi="Calibri" w:cs="Calibri"/>
              </w:rPr>
              <w:t>MotSB</w:t>
            </w:r>
            <w:proofErr w:type="spellEnd"/>
            <w:r w:rsidRPr="00240534">
              <w:rPr>
                <w:rFonts w:ascii="Calibri" w:hAnsi="Calibri" w:cs="Calibri"/>
              </w:rPr>
              <w:t xml:space="preserve">, </w:t>
            </w:r>
            <w:proofErr w:type="spellStart"/>
            <w:r w:rsidRPr="00240534">
              <w:rPr>
                <w:rFonts w:ascii="Calibri" w:hAnsi="Calibri" w:cs="Calibri"/>
              </w:rPr>
              <w:t>MotSC</w:t>
            </w:r>
            <w:proofErr w:type="spellEnd"/>
            <w:r w:rsidRPr="00240534">
              <w:rPr>
                <w:rFonts w:ascii="Calibri" w:hAnsi="Calibri" w:cs="Calibri"/>
              </w:rPr>
              <w:t xml:space="preserve">, </w:t>
            </w:r>
            <w:proofErr w:type="spellStart"/>
            <w:r w:rsidRPr="00240534">
              <w:rPr>
                <w:rFonts w:ascii="Calibri" w:hAnsi="Calibri" w:cs="Calibri"/>
              </w:rPr>
              <w:t>MotSD</w:t>
            </w:r>
            <w:proofErr w:type="spellEnd"/>
          </w:p>
        </w:tc>
        <w:tc>
          <w:tcPr>
            <w:tcW w:w="2126" w:type="dxa"/>
          </w:tcPr>
          <w:p w:rsidR="00D364F6" w:rsidRPr="00240534" w:rsidRDefault="00D364F6" w:rsidP="00240534">
            <w:pPr>
              <w:jc w:val="both"/>
              <w:rPr>
                <w:rFonts w:ascii="Calibri" w:hAnsi="Calibri" w:cs="Calibri"/>
              </w:rPr>
            </w:pPr>
            <w:r w:rsidRPr="00240534">
              <w:rPr>
                <w:rFonts w:ascii="Calibri" w:hAnsi="Calibri" w:cs="Calibri"/>
              </w:rPr>
              <w:t>3.251E-4</w:t>
            </w:r>
          </w:p>
        </w:tc>
      </w:tr>
      <w:tr w:rsidR="00D364F6" w:rsidRPr="00240534" w:rsidTr="008907D3">
        <w:trPr>
          <w:jc w:val="center"/>
        </w:trPr>
        <w:tc>
          <w:tcPr>
            <w:tcW w:w="3338" w:type="dxa"/>
          </w:tcPr>
          <w:p w:rsidR="00D364F6" w:rsidRPr="00240534" w:rsidRDefault="00D364F6" w:rsidP="00240534">
            <w:pPr>
              <w:jc w:val="both"/>
              <w:rPr>
                <w:rFonts w:ascii="Calibri" w:hAnsi="Calibri" w:cs="Calibri"/>
              </w:rPr>
            </w:pPr>
            <w:r w:rsidRPr="00240534">
              <w:rPr>
                <w:rFonts w:ascii="Calibri" w:hAnsi="Calibri" w:cs="Calibri"/>
              </w:rPr>
              <w:t>SupA, SupD</w:t>
            </w:r>
          </w:p>
        </w:tc>
        <w:tc>
          <w:tcPr>
            <w:tcW w:w="2126" w:type="dxa"/>
          </w:tcPr>
          <w:p w:rsidR="00D364F6" w:rsidRPr="00240534" w:rsidRDefault="00D364F6" w:rsidP="00240534">
            <w:pPr>
              <w:jc w:val="both"/>
              <w:rPr>
                <w:rFonts w:ascii="Calibri" w:hAnsi="Calibri" w:cs="Calibri"/>
              </w:rPr>
            </w:pPr>
            <w:r w:rsidRPr="00240534">
              <w:rPr>
                <w:rFonts w:ascii="Calibri" w:hAnsi="Calibri" w:cs="Calibri"/>
              </w:rPr>
              <w:t>4.114E-8</w:t>
            </w:r>
          </w:p>
        </w:tc>
      </w:tr>
      <w:tr w:rsidR="00D364F6" w:rsidRPr="00240534" w:rsidTr="008907D3">
        <w:trPr>
          <w:jc w:val="center"/>
        </w:trPr>
        <w:tc>
          <w:tcPr>
            <w:tcW w:w="3338" w:type="dxa"/>
          </w:tcPr>
          <w:p w:rsidR="00D364F6" w:rsidRPr="00240534" w:rsidRDefault="00D364F6" w:rsidP="00240534">
            <w:pPr>
              <w:jc w:val="both"/>
              <w:rPr>
                <w:rFonts w:ascii="Calibri" w:hAnsi="Calibri" w:cs="Calibri"/>
              </w:rPr>
            </w:pPr>
            <w:r w:rsidRPr="00240534">
              <w:rPr>
                <w:rFonts w:ascii="Calibri" w:hAnsi="Calibri" w:cs="Calibri"/>
              </w:rPr>
              <w:t>SupB, SupC</w:t>
            </w:r>
          </w:p>
        </w:tc>
        <w:tc>
          <w:tcPr>
            <w:tcW w:w="2126" w:type="dxa"/>
          </w:tcPr>
          <w:p w:rsidR="00D364F6" w:rsidRPr="00240534" w:rsidRDefault="00D364F6" w:rsidP="00240534">
            <w:pPr>
              <w:jc w:val="both"/>
              <w:rPr>
                <w:rFonts w:ascii="Calibri" w:hAnsi="Calibri" w:cs="Calibri"/>
              </w:rPr>
            </w:pPr>
            <w:r w:rsidRPr="00240534">
              <w:rPr>
                <w:rFonts w:ascii="Calibri" w:hAnsi="Calibri" w:cs="Calibri"/>
              </w:rPr>
              <w:t>2.332E-7</w:t>
            </w:r>
          </w:p>
        </w:tc>
      </w:tr>
      <w:tr w:rsidR="00D364F6" w:rsidRPr="00240534" w:rsidTr="008907D3">
        <w:trPr>
          <w:jc w:val="center"/>
        </w:trPr>
        <w:tc>
          <w:tcPr>
            <w:tcW w:w="3338" w:type="dxa"/>
          </w:tcPr>
          <w:p w:rsidR="00D364F6" w:rsidRPr="00240534" w:rsidRDefault="00D364F6" w:rsidP="00240534">
            <w:pPr>
              <w:jc w:val="both"/>
              <w:rPr>
                <w:rFonts w:ascii="Calibri" w:hAnsi="Calibri" w:cs="Calibri"/>
              </w:rPr>
            </w:pPr>
            <w:r w:rsidRPr="00240534">
              <w:rPr>
                <w:rFonts w:ascii="Calibri" w:hAnsi="Calibri" w:cs="Calibri"/>
              </w:rPr>
              <w:t>Adm</w:t>
            </w:r>
          </w:p>
        </w:tc>
        <w:tc>
          <w:tcPr>
            <w:tcW w:w="2126" w:type="dxa"/>
          </w:tcPr>
          <w:p w:rsidR="00D364F6" w:rsidRPr="00240534" w:rsidRDefault="00D364F6" w:rsidP="00240534">
            <w:pPr>
              <w:jc w:val="both"/>
              <w:rPr>
                <w:rFonts w:ascii="Calibri" w:hAnsi="Calibri" w:cs="Calibri"/>
              </w:rPr>
            </w:pPr>
            <w:r w:rsidRPr="00240534">
              <w:rPr>
                <w:rFonts w:ascii="Calibri" w:hAnsi="Calibri" w:cs="Calibri"/>
              </w:rPr>
              <w:t>2.324E-5</w:t>
            </w:r>
          </w:p>
        </w:tc>
      </w:tr>
    </w:tbl>
    <w:p w:rsidR="00055A78" w:rsidRPr="00240534" w:rsidRDefault="00055A78" w:rsidP="00240534">
      <w:pPr>
        <w:spacing w:line="240" w:lineRule="auto"/>
        <w:jc w:val="both"/>
        <w:rPr>
          <w:rFonts w:ascii="Calibri" w:hAnsi="Calibri" w:cs="Calibri"/>
        </w:rPr>
      </w:pPr>
    </w:p>
    <w:p w:rsidR="007A3D13" w:rsidRPr="00240534" w:rsidRDefault="00055A78" w:rsidP="00240534">
      <w:pPr>
        <w:spacing w:line="240" w:lineRule="auto"/>
        <w:jc w:val="center"/>
        <w:rPr>
          <w:rFonts w:ascii="Calibri" w:hAnsi="Calibri" w:cs="Calibri"/>
        </w:rPr>
      </w:pPr>
      <w:r w:rsidRPr="00240534">
        <w:rPr>
          <w:rFonts w:ascii="Calibri" w:hAnsi="Calibri" w:cs="Calibri"/>
        </w:rPr>
        <w:t>Table 1: Failure data of events</w:t>
      </w:r>
    </w:p>
    <w:p w:rsidR="000412F3" w:rsidRPr="00240534" w:rsidRDefault="000412F3" w:rsidP="00240534">
      <w:pPr>
        <w:spacing w:line="240" w:lineRule="auto"/>
        <w:jc w:val="center"/>
        <w:rPr>
          <w:rFonts w:ascii="Calibri" w:hAnsi="Calibri" w:cs="Calibri"/>
        </w:rPr>
      </w:pPr>
    </w:p>
    <w:p w:rsidR="00C05FB6" w:rsidRPr="00240534" w:rsidRDefault="00BA18E9" w:rsidP="00240534">
      <w:pPr>
        <w:spacing w:line="240" w:lineRule="auto"/>
        <w:jc w:val="both"/>
        <w:rPr>
          <w:rFonts w:ascii="Calibri" w:hAnsi="Calibri" w:cs="Calibri"/>
        </w:rPr>
      </w:pPr>
      <w:r w:rsidRPr="00240534">
        <w:rPr>
          <w:rFonts w:ascii="Calibri" w:hAnsi="Calibri" w:cs="Calibri"/>
        </w:rPr>
        <w:t>Based on the availability of</w:t>
      </w:r>
      <w:r w:rsidR="000412F3" w:rsidRPr="00240534">
        <w:rPr>
          <w:rFonts w:ascii="Calibri" w:hAnsi="Calibri" w:cs="Calibri"/>
        </w:rPr>
        <w:t xml:space="preserve"> </w:t>
      </w:r>
      <w:r w:rsidR="002B2515" w:rsidRPr="00240534">
        <w:rPr>
          <w:rFonts w:ascii="Calibri" w:hAnsi="Calibri" w:cs="Calibri"/>
        </w:rPr>
        <w:t>these</w:t>
      </w:r>
      <w:r w:rsidR="000412F3" w:rsidRPr="00240534">
        <w:rPr>
          <w:rFonts w:ascii="Calibri" w:hAnsi="Calibri" w:cs="Calibri"/>
        </w:rPr>
        <w:t xml:space="preserve"> failure data, the </w:t>
      </w:r>
      <w:r w:rsidRPr="00240534">
        <w:rPr>
          <w:rFonts w:ascii="Calibri" w:hAnsi="Calibri" w:cs="Calibri"/>
        </w:rPr>
        <w:t xml:space="preserve">dynamics </w:t>
      </w:r>
      <w:r w:rsidR="000412F3" w:rsidRPr="00240534">
        <w:rPr>
          <w:rFonts w:ascii="Calibri" w:hAnsi="Calibri" w:cs="Calibri"/>
        </w:rPr>
        <w:t xml:space="preserve">of the top event can be evaluated using formulae provided in </w:t>
      </w:r>
      <w:r w:rsidR="002D4D82" w:rsidRPr="00240534">
        <w:rPr>
          <w:rFonts w:ascii="Calibri" w:hAnsi="Calibri" w:cs="Calibri"/>
        </w:rPr>
        <w:fldChar w:fldCharType="begin" w:fldLock="1"/>
      </w:r>
      <w:r w:rsidR="00A56670" w:rsidRPr="00240534">
        <w:rPr>
          <w:rFonts w:ascii="Calibri" w:hAnsi="Calibri" w:cs="Calibri"/>
        </w:rPr>
        <w:instrText>ADDIN CSL_CITATION { "citationItems" : [ { "id" : "ITEM-1", "itemData" : { "author" : [ { "dropping-particle" : "", "family" : "Edifor", "given" : "Ernest E", "non-dropping-particle" : "", "parse-names" : false, "suffix" : "" } ], "id" : "ITEM-1", "issue" : "August", "issued" : { "date-parts" : [ [ "2014" ] ] }, "publisher" : "University of Hull", "title" : "Quantitative Analysis of Dynamic Safety-Critical Systems Using Temporal Fault Trees", "type" : "thesis" }, "uris" : [ "http://www.mendeley.com/documents/?uuid=96217306-eb3a-455f-8695-96a783cf4bb1" ] } ], "mendeley" : { "formattedCitation" : "(E. E. Edifor, 2014)", "manualFormatting" : "(Edifor, 2014)", "plainTextFormattedCitation" : "(E. E. Edifor, 2014)", "previouslyFormattedCitation" : "(E. E. Edifor, 2014)" }, "properties" : { "noteIndex" : 0 }, "schema" : "https://github.com/citation-style-language/schema/raw/master/csl-citation.json" }</w:instrText>
      </w:r>
      <w:r w:rsidR="002D4D82" w:rsidRPr="00240534">
        <w:rPr>
          <w:rFonts w:ascii="Calibri" w:hAnsi="Calibri" w:cs="Calibri"/>
        </w:rPr>
        <w:fldChar w:fldCharType="separate"/>
      </w:r>
      <w:r w:rsidR="00B519DB" w:rsidRPr="00240534">
        <w:rPr>
          <w:rFonts w:ascii="Calibri" w:hAnsi="Calibri" w:cs="Calibri"/>
          <w:noProof/>
        </w:rPr>
        <w:t>(Edifor, 2014)</w:t>
      </w:r>
      <w:r w:rsidR="002D4D82" w:rsidRPr="00240534">
        <w:rPr>
          <w:rFonts w:ascii="Calibri" w:hAnsi="Calibri" w:cs="Calibri"/>
        </w:rPr>
        <w:fldChar w:fldCharType="end"/>
      </w:r>
      <w:r w:rsidR="000412F3" w:rsidRPr="00240534">
        <w:rPr>
          <w:rFonts w:ascii="Calibri" w:hAnsi="Calibri" w:cs="Calibri"/>
        </w:rPr>
        <w:t xml:space="preserve">. </w:t>
      </w:r>
      <w:r w:rsidR="007E4BFC" w:rsidRPr="00240534">
        <w:rPr>
          <w:rFonts w:ascii="Calibri" w:hAnsi="Calibri" w:cs="Calibri"/>
        </w:rPr>
        <w:t xml:space="preserve">Figure 4 is a graph showing the probabilities that Kelso </w:t>
      </w:r>
      <w:r w:rsidRPr="00240534">
        <w:rPr>
          <w:rFonts w:ascii="Calibri" w:hAnsi="Calibri" w:cs="Calibri"/>
        </w:rPr>
        <w:t xml:space="preserve">will </w:t>
      </w:r>
      <w:r w:rsidR="007E4BFC" w:rsidRPr="00240534">
        <w:rPr>
          <w:rFonts w:ascii="Calibri" w:hAnsi="Calibri" w:cs="Calibri"/>
        </w:rPr>
        <w:t xml:space="preserve">fail to fulfil its order from within the first hour to </w:t>
      </w:r>
      <w:r w:rsidR="00A127CA" w:rsidRPr="00240534">
        <w:rPr>
          <w:rFonts w:ascii="Calibri" w:hAnsi="Calibri" w:cs="Calibri"/>
        </w:rPr>
        <w:t>10000</w:t>
      </w:r>
      <w:r w:rsidR="000412F3" w:rsidRPr="00240534">
        <w:rPr>
          <w:rFonts w:ascii="Calibri" w:hAnsi="Calibri" w:cs="Calibri"/>
        </w:rPr>
        <w:t xml:space="preserve"> hours (approximately 417 days)</w:t>
      </w:r>
      <w:r w:rsidR="007E4BFC" w:rsidRPr="00240534">
        <w:rPr>
          <w:rFonts w:ascii="Calibri" w:hAnsi="Calibri" w:cs="Calibri"/>
        </w:rPr>
        <w:t>; these probabilities are 3.252E-04 and</w:t>
      </w:r>
      <w:r w:rsidR="000412F3" w:rsidRPr="00240534">
        <w:rPr>
          <w:rFonts w:ascii="Calibri" w:hAnsi="Calibri" w:cs="Calibri"/>
        </w:rPr>
        <w:t xml:space="preserve"> </w:t>
      </w:r>
      <w:r w:rsidR="007E4BFC" w:rsidRPr="00240534">
        <w:rPr>
          <w:rFonts w:ascii="Calibri" w:hAnsi="Calibri" w:cs="Calibri"/>
        </w:rPr>
        <w:t>9.971</w:t>
      </w:r>
      <w:r w:rsidR="000412F3" w:rsidRPr="00240534">
        <w:rPr>
          <w:rFonts w:ascii="Calibri" w:hAnsi="Calibri" w:cs="Calibri"/>
        </w:rPr>
        <w:t>E-01</w:t>
      </w:r>
      <w:r w:rsidR="007E4BFC" w:rsidRPr="00240534">
        <w:rPr>
          <w:rFonts w:ascii="Calibri" w:hAnsi="Calibri" w:cs="Calibri"/>
        </w:rPr>
        <w:t xml:space="preserve"> respectively.</w:t>
      </w:r>
      <w:r w:rsidR="00B216C7" w:rsidRPr="00240534">
        <w:rPr>
          <w:rFonts w:ascii="Calibri" w:hAnsi="Calibri" w:cs="Calibri"/>
        </w:rPr>
        <w:t xml:space="preserve"> From the graph, it is clear that the likelihood of failing to fulfil orders within 417 days is almost certain whiles there is less likelihood </w:t>
      </w:r>
      <w:r w:rsidR="00A127CA" w:rsidRPr="00240534">
        <w:rPr>
          <w:rFonts w:ascii="Calibri" w:hAnsi="Calibri" w:cs="Calibri"/>
        </w:rPr>
        <w:t xml:space="preserve">of failure </w:t>
      </w:r>
      <w:r w:rsidR="00B216C7" w:rsidRPr="00240534">
        <w:rPr>
          <w:rFonts w:ascii="Calibri" w:hAnsi="Calibri" w:cs="Calibri"/>
        </w:rPr>
        <w:t>within the first hour.</w:t>
      </w:r>
    </w:p>
    <w:p w:rsidR="007E4BFC" w:rsidRPr="00240534" w:rsidRDefault="007E4BFC" w:rsidP="00240534">
      <w:pPr>
        <w:spacing w:line="240" w:lineRule="auto"/>
        <w:jc w:val="both"/>
        <w:rPr>
          <w:rFonts w:ascii="Calibri" w:hAnsi="Calibri" w:cs="Calibri"/>
        </w:rPr>
      </w:pPr>
    </w:p>
    <w:p w:rsidR="007E4BFC" w:rsidRPr="00240534" w:rsidRDefault="007E4BFC" w:rsidP="00240534">
      <w:pPr>
        <w:spacing w:line="240" w:lineRule="auto"/>
        <w:jc w:val="center"/>
        <w:rPr>
          <w:rFonts w:ascii="Calibri" w:hAnsi="Calibri" w:cs="Calibri"/>
        </w:rPr>
      </w:pPr>
      <w:r w:rsidRPr="00240534">
        <w:rPr>
          <w:rFonts w:ascii="Calibri" w:hAnsi="Calibri" w:cs="Calibri"/>
          <w:noProof/>
          <w:lang w:eastAsia="ko-KR"/>
        </w:rPr>
        <w:drawing>
          <wp:inline distT="0" distB="0" distL="0" distR="0">
            <wp:extent cx="4159384" cy="211281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192" b="3436"/>
                    <a:stretch/>
                  </pic:blipFill>
                  <pic:spPr bwMode="auto">
                    <a:xfrm>
                      <a:off x="0" y="0"/>
                      <a:ext cx="4180249" cy="2123418"/>
                    </a:xfrm>
                    <a:prstGeom prst="rect">
                      <a:avLst/>
                    </a:prstGeom>
                    <a:noFill/>
                    <a:ln>
                      <a:noFill/>
                    </a:ln>
                    <a:extLst>
                      <a:ext uri="{53640926-AAD7-44D8-BBD7-CCE9431645EC}">
                        <a14:shadowObscured xmlns:a14="http://schemas.microsoft.com/office/drawing/2010/main"/>
                      </a:ext>
                    </a:extLst>
                  </pic:spPr>
                </pic:pic>
              </a:graphicData>
            </a:graphic>
          </wp:inline>
        </w:drawing>
      </w:r>
    </w:p>
    <w:p w:rsidR="00B216C7" w:rsidRPr="00240534" w:rsidRDefault="00B216C7" w:rsidP="00240534">
      <w:pPr>
        <w:spacing w:line="240" w:lineRule="auto"/>
        <w:jc w:val="both"/>
        <w:rPr>
          <w:rFonts w:ascii="Calibri" w:hAnsi="Calibri" w:cs="Calibri"/>
        </w:rPr>
      </w:pPr>
    </w:p>
    <w:p w:rsidR="00B216C7" w:rsidRPr="00240534" w:rsidRDefault="0017173F" w:rsidP="00240534">
      <w:pPr>
        <w:spacing w:line="240" w:lineRule="auto"/>
        <w:jc w:val="center"/>
        <w:rPr>
          <w:rFonts w:ascii="Calibri" w:hAnsi="Calibri" w:cs="Calibri"/>
        </w:rPr>
      </w:pPr>
      <w:r w:rsidRPr="00240534">
        <w:rPr>
          <w:rFonts w:ascii="Calibri" w:hAnsi="Calibri" w:cs="Calibri"/>
        </w:rPr>
        <w:t>Figure 4: F</w:t>
      </w:r>
      <w:r w:rsidR="00B216C7" w:rsidRPr="00240534">
        <w:rPr>
          <w:rFonts w:ascii="Calibri" w:hAnsi="Calibri" w:cs="Calibri"/>
        </w:rPr>
        <w:t xml:space="preserve">ailure in </w:t>
      </w:r>
      <w:r w:rsidRPr="00240534">
        <w:rPr>
          <w:rFonts w:ascii="Calibri" w:hAnsi="Calibri" w:cs="Calibri"/>
        </w:rPr>
        <w:t>o</w:t>
      </w:r>
      <w:r w:rsidR="00B216C7" w:rsidRPr="00240534">
        <w:rPr>
          <w:rFonts w:ascii="Calibri" w:hAnsi="Calibri" w:cs="Calibri"/>
        </w:rPr>
        <w:t xml:space="preserve">rder </w:t>
      </w:r>
      <w:r w:rsidRPr="00240534">
        <w:rPr>
          <w:rFonts w:ascii="Calibri" w:hAnsi="Calibri" w:cs="Calibri"/>
        </w:rPr>
        <w:t xml:space="preserve">fulfilment </w:t>
      </w:r>
      <w:r w:rsidR="00B216C7" w:rsidRPr="00240534">
        <w:rPr>
          <w:rFonts w:ascii="Calibri" w:hAnsi="Calibri" w:cs="Calibri"/>
        </w:rPr>
        <w:t>from 1 hour to 10000 hours</w:t>
      </w:r>
    </w:p>
    <w:p w:rsidR="00392982" w:rsidRPr="00240534" w:rsidRDefault="00392982" w:rsidP="00240534">
      <w:pPr>
        <w:spacing w:line="240" w:lineRule="auto"/>
        <w:jc w:val="both"/>
        <w:rPr>
          <w:rFonts w:ascii="Calibri" w:hAnsi="Calibri" w:cs="Calibri"/>
        </w:rPr>
      </w:pPr>
    </w:p>
    <w:p w:rsidR="00EE7994" w:rsidRPr="00240534" w:rsidRDefault="00152BEF" w:rsidP="00240534">
      <w:pPr>
        <w:spacing w:line="240" w:lineRule="auto"/>
        <w:jc w:val="both"/>
        <w:rPr>
          <w:rFonts w:ascii="Calibri" w:hAnsi="Calibri" w:cs="Calibri"/>
        </w:rPr>
      </w:pPr>
      <w:r w:rsidRPr="00240534">
        <w:rPr>
          <w:rFonts w:ascii="Calibri" w:hAnsi="Calibri" w:cs="Calibri"/>
        </w:rPr>
        <w:t xml:space="preserve">At each point of the graph, the MCSQs and events contributing to the top-event occurrence can be evaluated. </w:t>
      </w:r>
      <w:r w:rsidR="00AC1277" w:rsidRPr="00240534">
        <w:rPr>
          <w:rFonts w:ascii="Calibri" w:hAnsi="Calibri" w:cs="Calibri"/>
        </w:rPr>
        <w:t>Table 2</w:t>
      </w:r>
      <w:r w:rsidRPr="00240534">
        <w:rPr>
          <w:rFonts w:ascii="Calibri" w:hAnsi="Calibri" w:cs="Calibri"/>
        </w:rPr>
        <w:t xml:space="preserve"> is a summary of the top ten MCSQs (left) and events (right) contributing to the top event occurrence at 10000 hours</w:t>
      </w:r>
      <w:r w:rsidR="00E04ED8" w:rsidRPr="00240534">
        <w:rPr>
          <w:rFonts w:ascii="Calibri" w:hAnsi="Calibri" w:cs="Calibri"/>
        </w:rPr>
        <w:t xml:space="preserve">; FV importance is the </w:t>
      </w:r>
      <w:proofErr w:type="spellStart"/>
      <w:r w:rsidR="00E04ED8" w:rsidRPr="00240534">
        <w:rPr>
          <w:rFonts w:ascii="Calibri" w:hAnsi="Calibri" w:cs="Calibri"/>
        </w:rPr>
        <w:t>Fussell-Vesely</w:t>
      </w:r>
      <w:proofErr w:type="spellEnd"/>
      <w:r w:rsidR="00E04ED8" w:rsidRPr="00240534">
        <w:rPr>
          <w:rFonts w:ascii="Calibri" w:hAnsi="Calibri" w:cs="Calibri"/>
        </w:rPr>
        <w:t xml:space="preserve"> Importance </w:t>
      </w:r>
      <w:r w:rsidR="008D5E6B" w:rsidRPr="00240534">
        <w:rPr>
          <w:rFonts w:ascii="Calibri" w:hAnsi="Calibri" w:cs="Calibri"/>
        </w:rPr>
        <w:fldChar w:fldCharType="begin" w:fldLock="1"/>
      </w:r>
      <w:r w:rsidR="008D5E6B" w:rsidRPr="00240534">
        <w:rPr>
          <w:rFonts w:ascii="Calibri" w:hAnsi="Calibri" w:cs="Calibri"/>
        </w:rPr>
        <w:instrText>ADDIN CSL_CITATION { "citationItems" : [ { "id" : "ITEM-1", "itemData" : { "author" : [ { "dropping-particle" : "", "family" : "Henley", "given" : "E J", "non-dropping-particle" : "", "parse-names" : false, "suffix" : "" }, { "dropping-particle" : "", "family" : "Kumamoto", "given" : "H", "non-dropping-particle" : "", "parse-names" : false, "suffix" : "" } ], "id" : "ITEM-1", "issued" : { "date-parts" : [ [ "1981" ] ] }, "publisher" : "Prince-Hall, Inc, New Jersey", "title" : "Reliability Engineering and Risk Assessment", "type" : "book" }, "uris" : [ "http://www.mendeley.com/documents/?uuid=bf93784a-0a66-4d67-8f31-930580fe0626" ] } ], "mendeley" : { "formattedCitation" : "(Henley &amp; Kumamoto, 1981)", "manualFormatting" : "(Henley and Kumamoto, 1981)", "plainTextFormattedCitation" : "(Henley &amp; Kumamoto, 1981)", "previouslyFormattedCitation" : "(Henley &amp; Kumamoto, 1981)" }, "properties" : { "noteIndex" : 0 }, "schema" : "https://github.com/citation-style-language/schema/raw/master/csl-citation.json" }</w:instrText>
      </w:r>
      <w:r w:rsidR="008D5E6B" w:rsidRPr="00240534">
        <w:rPr>
          <w:rFonts w:ascii="Calibri" w:hAnsi="Calibri" w:cs="Calibri"/>
        </w:rPr>
        <w:fldChar w:fldCharType="separate"/>
      </w:r>
      <w:r w:rsidR="008D5E6B" w:rsidRPr="00240534">
        <w:rPr>
          <w:rFonts w:ascii="Calibri" w:hAnsi="Calibri" w:cs="Calibri"/>
          <w:noProof/>
        </w:rPr>
        <w:t>(Henley and Kumamoto, 1981)</w:t>
      </w:r>
      <w:r w:rsidR="008D5E6B" w:rsidRPr="00240534">
        <w:rPr>
          <w:rFonts w:ascii="Calibri" w:hAnsi="Calibri" w:cs="Calibri"/>
        </w:rPr>
        <w:fldChar w:fldCharType="end"/>
      </w:r>
      <w:r w:rsidR="008D5E6B" w:rsidRPr="00240534">
        <w:rPr>
          <w:rFonts w:ascii="Calibri" w:hAnsi="Calibri" w:cs="Calibri"/>
        </w:rPr>
        <w:t xml:space="preserve"> </w:t>
      </w:r>
      <w:r w:rsidR="002D10C3" w:rsidRPr="00240534">
        <w:rPr>
          <w:rFonts w:ascii="Calibri" w:hAnsi="Calibri" w:cs="Calibri"/>
        </w:rPr>
        <w:t>that shows</w:t>
      </w:r>
      <w:r w:rsidR="00E04ED8" w:rsidRPr="00240534">
        <w:rPr>
          <w:rFonts w:ascii="Calibri" w:hAnsi="Calibri" w:cs="Calibri"/>
        </w:rPr>
        <w:t xml:space="preserve"> the contribution of each event to the occurrence of the top</w:t>
      </w:r>
      <w:r w:rsidR="002D10C3" w:rsidRPr="00240534">
        <w:rPr>
          <w:rFonts w:ascii="Calibri" w:hAnsi="Calibri" w:cs="Calibri"/>
        </w:rPr>
        <w:t>-</w:t>
      </w:r>
      <w:r w:rsidR="00E04ED8" w:rsidRPr="00240534">
        <w:rPr>
          <w:rFonts w:ascii="Calibri" w:hAnsi="Calibri" w:cs="Calibri"/>
        </w:rPr>
        <w:t>event</w:t>
      </w:r>
      <w:r w:rsidRPr="00240534">
        <w:rPr>
          <w:rFonts w:ascii="Calibri" w:hAnsi="Calibri" w:cs="Calibri"/>
        </w:rPr>
        <w:t>.</w:t>
      </w:r>
      <w:r w:rsidR="00EE7994" w:rsidRPr="00240534">
        <w:rPr>
          <w:rFonts w:ascii="Calibri" w:hAnsi="Calibri" w:cs="Calibri"/>
        </w:rPr>
        <w:t xml:space="preserve"> </w:t>
      </w:r>
    </w:p>
    <w:p w:rsidR="00CE43A7" w:rsidRPr="00240534" w:rsidRDefault="00CE43A7" w:rsidP="00240534">
      <w:pPr>
        <w:spacing w:line="240" w:lineRule="auto"/>
        <w:jc w:val="both"/>
        <w:rPr>
          <w:rFonts w:ascii="Calibri" w:hAnsi="Calibri" w:cs="Calibri"/>
        </w:rPr>
      </w:pPr>
    </w:p>
    <w:tbl>
      <w:tblPr>
        <w:tblStyle w:val="TableGrid"/>
        <w:tblW w:w="8359" w:type="dxa"/>
        <w:jc w:val="center"/>
        <w:tblLook w:val="04A0" w:firstRow="1" w:lastRow="0" w:firstColumn="1" w:lastColumn="0" w:noHBand="0" w:noVBand="1"/>
      </w:tblPr>
      <w:tblGrid>
        <w:gridCol w:w="729"/>
        <w:gridCol w:w="1676"/>
        <w:gridCol w:w="2126"/>
        <w:gridCol w:w="426"/>
        <w:gridCol w:w="729"/>
        <w:gridCol w:w="972"/>
        <w:gridCol w:w="1701"/>
      </w:tblGrid>
      <w:tr w:rsidR="00F65E39" w:rsidRPr="00240534" w:rsidTr="00F65E39">
        <w:trPr>
          <w:jc w:val="center"/>
        </w:trPr>
        <w:tc>
          <w:tcPr>
            <w:tcW w:w="729" w:type="dxa"/>
          </w:tcPr>
          <w:p w:rsidR="00F65E39" w:rsidRPr="00240534" w:rsidRDefault="00F65E39" w:rsidP="00240534">
            <w:pPr>
              <w:jc w:val="both"/>
              <w:rPr>
                <w:rFonts w:ascii="Calibri" w:hAnsi="Calibri" w:cs="Calibri"/>
                <w:i/>
              </w:rPr>
            </w:pPr>
            <w:r w:rsidRPr="00240534">
              <w:rPr>
                <w:rFonts w:ascii="Calibri" w:hAnsi="Calibri" w:cs="Calibri"/>
                <w:i/>
              </w:rPr>
              <w:t>Order</w:t>
            </w:r>
          </w:p>
        </w:tc>
        <w:tc>
          <w:tcPr>
            <w:tcW w:w="1676" w:type="dxa"/>
          </w:tcPr>
          <w:p w:rsidR="00F65E39" w:rsidRPr="00240534" w:rsidRDefault="00F65E39" w:rsidP="00240534">
            <w:pPr>
              <w:jc w:val="both"/>
              <w:rPr>
                <w:rFonts w:ascii="Calibri" w:hAnsi="Calibri" w:cs="Calibri"/>
                <w:i/>
              </w:rPr>
            </w:pPr>
            <w:r w:rsidRPr="00240534">
              <w:rPr>
                <w:rFonts w:ascii="Calibri" w:hAnsi="Calibri" w:cs="Calibri"/>
                <w:i/>
              </w:rPr>
              <w:t>MCSQs</w:t>
            </w:r>
          </w:p>
        </w:tc>
        <w:tc>
          <w:tcPr>
            <w:tcW w:w="2126" w:type="dxa"/>
          </w:tcPr>
          <w:p w:rsidR="00F65E39" w:rsidRPr="00240534" w:rsidRDefault="00F65E39" w:rsidP="00240534">
            <w:pPr>
              <w:jc w:val="both"/>
              <w:rPr>
                <w:rFonts w:ascii="Calibri" w:hAnsi="Calibri" w:cs="Calibri"/>
                <w:i/>
              </w:rPr>
            </w:pPr>
            <w:r w:rsidRPr="00240534">
              <w:rPr>
                <w:rFonts w:ascii="Calibri" w:hAnsi="Calibri" w:cs="Calibri"/>
                <w:i/>
              </w:rPr>
              <w:t>Probability of failure</w:t>
            </w:r>
          </w:p>
        </w:tc>
        <w:tc>
          <w:tcPr>
            <w:tcW w:w="426" w:type="dxa"/>
            <w:vMerge w:val="restart"/>
            <w:tcBorders>
              <w:top w:val="single" w:sz="4" w:space="0" w:color="FFFFFF" w:themeColor="background1"/>
            </w:tcBorders>
          </w:tcPr>
          <w:p w:rsidR="00F65E39" w:rsidRPr="00240534" w:rsidRDefault="00F65E39" w:rsidP="00240534">
            <w:pPr>
              <w:jc w:val="both"/>
              <w:rPr>
                <w:rFonts w:ascii="Calibri" w:hAnsi="Calibri" w:cs="Calibri"/>
                <w:i/>
              </w:rPr>
            </w:pPr>
          </w:p>
        </w:tc>
        <w:tc>
          <w:tcPr>
            <w:tcW w:w="729" w:type="dxa"/>
          </w:tcPr>
          <w:p w:rsidR="00F65E39" w:rsidRPr="00240534" w:rsidRDefault="00F65E39" w:rsidP="00240534">
            <w:pPr>
              <w:jc w:val="both"/>
              <w:rPr>
                <w:rFonts w:ascii="Calibri" w:hAnsi="Calibri" w:cs="Calibri"/>
                <w:i/>
              </w:rPr>
            </w:pPr>
            <w:r w:rsidRPr="00240534">
              <w:rPr>
                <w:rFonts w:ascii="Calibri" w:hAnsi="Calibri" w:cs="Calibri"/>
                <w:i/>
              </w:rPr>
              <w:t>Order</w:t>
            </w:r>
          </w:p>
        </w:tc>
        <w:tc>
          <w:tcPr>
            <w:tcW w:w="972" w:type="dxa"/>
          </w:tcPr>
          <w:p w:rsidR="00F65E39" w:rsidRPr="00240534" w:rsidRDefault="00F65E39" w:rsidP="00240534">
            <w:pPr>
              <w:jc w:val="both"/>
              <w:rPr>
                <w:rFonts w:ascii="Calibri" w:hAnsi="Calibri" w:cs="Calibri"/>
                <w:i/>
              </w:rPr>
            </w:pPr>
            <w:r w:rsidRPr="00240534">
              <w:rPr>
                <w:rFonts w:ascii="Calibri" w:hAnsi="Calibri" w:cs="Calibri"/>
                <w:i/>
              </w:rPr>
              <w:t>Event</w:t>
            </w:r>
          </w:p>
        </w:tc>
        <w:tc>
          <w:tcPr>
            <w:tcW w:w="1701" w:type="dxa"/>
          </w:tcPr>
          <w:p w:rsidR="00F65E39" w:rsidRPr="00240534" w:rsidRDefault="00F65E39" w:rsidP="00240534">
            <w:pPr>
              <w:jc w:val="both"/>
              <w:rPr>
                <w:rFonts w:ascii="Calibri" w:hAnsi="Calibri" w:cs="Calibri"/>
                <w:i/>
              </w:rPr>
            </w:pPr>
            <w:r w:rsidRPr="00240534">
              <w:rPr>
                <w:rFonts w:ascii="Calibri" w:hAnsi="Calibri" w:cs="Calibri"/>
                <w:i/>
              </w:rPr>
              <w:t>FV Importance</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1</w:t>
            </w:r>
          </w:p>
        </w:tc>
        <w:tc>
          <w:tcPr>
            <w:tcW w:w="1676" w:type="dxa"/>
          </w:tcPr>
          <w:p w:rsidR="00F65E39" w:rsidRPr="00240534" w:rsidRDefault="00F65E39" w:rsidP="00240534">
            <w:pPr>
              <w:rPr>
                <w:rFonts w:ascii="Calibri" w:hAnsi="Calibri" w:cs="Calibri"/>
              </w:rPr>
            </w:pPr>
            <w:r w:rsidRPr="00240534">
              <w:rPr>
                <w:rFonts w:ascii="Calibri" w:hAnsi="Calibri" w:cs="Calibri"/>
              </w:rPr>
              <w:t>MotSD</w:t>
            </w:r>
          </w:p>
        </w:tc>
        <w:tc>
          <w:tcPr>
            <w:tcW w:w="2126" w:type="dxa"/>
          </w:tcPr>
          <w:p w:rsidR="00F65E39" w:rsidRPr="00240534" w:rsidRDefault="00D64874" w:rsidP="00240534">
            <w:pPr>
              <w:rPr>
                <w:rFonts w:ascii="Calibri" w:hAnsi="Calibri" w:cs="Calibri"/>
              </w:rPr>
            </w:pPr>
            <w:r w:rsidRPr="00240534">
              <w:rPr>
                <w:rFonts w:ascii="Calibri" w:hAnsi="Calibri" w:cs="Calibri"/>
              </w:rPr>
              <w:t>0.9612</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1</w:t>
            </w:r>
          </w:p>
        </w:tc>
        <w:tc>
          <w:tcPr>
            <w:tcW w:w="972" w:type="dxa"/>
          </w:tcPr>
          <w:p w:rsidR="00F65E39" w:rsidRPr="00240534" w:rsidRDefault="00F65E39" w:rsidP="00240534">
            <w:pPr>
              <w:rPr>
                <w:rFonts w:ascii="Calibri" w:hAnsi="Calibri" w:cs="Calibri"/>
              </w:rPr>
            </w:pPr>
            <w:r w:rsidRPr="00240534">
              <w:rPr>
                <w:rFonts w:ascii="Calibri" w:hAnsi="Calibri" w:cs="Calibri"/>
              </w:rPr>
              <w:t>MotSD</w:t>
            </w:r>
          </w:p>
        </w:tc>
        <w:tc>
          <w:tcPr>
            <w:tcW w:w="1701" w:type="dxa"/>
          </w:tcPr>
          <w:p w:rsidR="00F65E39" w:rsidRPr="00240534" w:rsidRDefault="00D64874" w:rsidP="00240534">
            <w:pPr>
              <w:rPr>
                <w:rFonts w:ascii="Calibri" w:hAnsi="Calibri" w:cs="Calibri"/>
              </w:rPr>
            </w:pPr>
            <w:r w:rsidRPr="00240534">
              <w:rPr>
                <w:rFonts w:ascii="Calibri" w:hAnsi="Calibri" w:cs="Calibri"/>
              </w:rPr>
              <w:t>0.9641</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2</w:t>
            </w:r>
          </w:p>
        </w:tc>
        <w:tc>
          <w:tcPr>
            <w:tcW w:w="1676" w:type="dxa"/>
          </w:tcPr>
          <w:p w:rsidR="00F65E39" w:rsidRPr="00240534" w:rsidRDefault="00F65E39" w:rsidP="00240534">
            <w:pPr>
              <w:rPr>
                <w:rFonts w:ascii="Calibri" w:hAnsi="Calibri" w:cs="Calibri"/>
              </w:rPr>
            </w:pPr>
            <w:proofErr w:type="spellStart"/>
            <w:r w:rsidRPr="00240534">
              <w:rPr>
                <w:rFonts w:ascii="Calibri" w:hAnsi="Calibri" w:cs="Calibri"/>
              </w:rPr>
              <w:t>MotSA.MotSC</w:t>
            </w:r>
            <w:proofErr w:type="spellEnd"/>
          </w:p>
        </w:tc>
        <w:tc>
          <w:tcPr>
            <w:tcW w:w="2126" w:type="dxa"/>
          </w:tcPr>
          <w:p w:rsidR="00F65E39" w:rsidRPr="00240534" w:rsidRDefault="00D64874" w:rsidP="00240534">
            <w:pPr>
              <w:rPr>
                <w:rFonts w:ascii="Calibri" w:hAnsi="Calibri" w:cs="Calibri"/>
              </w:rPr>
            </w:pPr>
            <w:r w:rsidRPr="00240534">
              <w:rPr>
                <w:rFonts w:ascii="Calibri" w:hAnsi="Calibri" w:cs="Calibri"/>
              </w:rPr>
              <w:t>0.9240</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2</w:t>
            </w:r>
          </w:p>
        </w:tc>
        <w:tc>
          <w:tcPr>
            <w:tcW w:w="972" w:type="dxa"/>
          </w:tcPr>
          <w:p w:rsidR="00F65E39" w:rsidRPr="00240534" w:rsidRDefault="00F65E39" w:rsidP="00240534">
            <w:pPr>
              <w:rPr>
                <w:rFonts w:ascii="Calibri" w:hAnsi="Calibri" w:cs="Calibri"/>
              </w:rPr>
            </w:pPr>
            <w:r w:rsidRPr="00240534">
              <w:rPr>
                <w:rFonts w:ascii="Calibri" w:hAnsi="Calibri" w:cs="Calibri"/>
              </w:rPr>
              <w:t>MotSA</w:t>
            </w:r>
          </w:p>
        </w:tc>
        <w:tc>
          <w:tcPr>
            <w:tcW w:w="1701" w:type="dxa"/>
          </w:tcPr>
          <w:p w:rsidR="00F65E39" w:rsidRPr="00240534" w:rsidRDefault="00D64874" w:rsidP="00240534">
            <w:pPr>
              <w:rPr>
                <w:rFonts w:ascii="Calibri" w:hAnsi="Calibri" w:cs="Calibri"/>
              </w:rPr>
            </w:pPr>
            <w:r w:rsidRPr="00240534">
              <w:rPr>
                <w:rFonts w:ascii="Calibri" w:hAnsi="Calibri" w:cs="Calibri"/>
              </w:rPr>
              <w:t>0.9269</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3</w:t>
            </w:r>
          </w:p>
        </w:tc>
        <w:tc>
          <w:tcPr>
            <w:tcW w:w="1676" w:type="dxa"/>
          </w:tcPr>
          <w:p w:rsidR="00F65E39" w:rsidRPr="00240534" w:rsidRDefault="00F65E39" w:rsidP="00240534">
            <w:pPr>
              <w:rPr>
                <w:rFonts w:ascii="Calibri" w:hAnsi="Calibri" w:cs="Calibri"/>
              </w:rPr>
            </w:pPr>
            <w:proofErr w:type="spellStart"/>
            <w:r w:rsidRPr="00240534">
              <w:rPr>
                <w:rFonts w:ascii="Calibri" w:hAnsi="Calibri" w:cs="Calibri"/>
              </w:rPr>
              <w:t>MotSA.SupC</w:t>
            </w:r>
            <w:proofErr w:type="spellEnd"/>
          </w:p>
        </w:tc>
        <w:tc>
          <w:tcPr>
            <w:tcW w:w="2126" w:type="dxa"/>
          </w:tcPr>
          <w:p w:rsidR="00F65E39" w:rsidRPr="00240534" w:rsidRDefault="00D64874" w:rsidP="00240534">
            <w:pPr>
              <w:rPr>
                <w:rFonts w:ascii="Calibri" w:hAnsi="Calibri" w:cs="Calibri"/>
              </w:rPr>
            </w:pPr>
            <w:r w:rsidRPr="00240534">
              <w:rPr>
                <w:rFonts w:ascii="Calibri" w:hAnsi="Calibri" w:cs="Calibri"/>
              </w:rPr>
              <w:t>0.0022</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3</w:t>
            </w:r>
          </w:p>
        </w:tc>
        <w:tc>
          <w:tcPr>
            <w:tcW w:w="972" w:type="dxa"/>
          </w:tcPr>
          <w:p w:rsidR="00F65E39" w:rsidRPr="00240534" w:rsidRDefault="00F65E39" w:rsidP="00240534">
            <w:pPr>
              <w:rPr>
                <w:rFonts w:ascii="Calibri" w:hAnsi="Calibri" w:cs="Calibri"/>
              </w:rPr>
            </w:pPr>
            <w:r w:rsidRPr="00240534">
              <w:rPr>
                <w:rFonts w:ascii="Calibri" w:hAnsi="Calibri" w:cs="Calibri"/>
              </w:rPr>
              <w:t>MotSC</w:t>
            </w:r>
          </w:p>
        </w:tc>
        <w:tc>
          <w:tcPr>
            <w:tcW w:w="1701" w:type="dxa"/>
          </w:tcPr>
          <w:p w:rsidR="00F65E39" w:rsidRPr="00240534" w:rsidRDefault="00D64874" w:rsidP="00240534">
            <w:pPr>
              <w:rPr>
                <w:rFonts w:ascii="Calibri" w:hAnsi="Calibri" w:cs="Calibri"/>
              </w:rPr>
            </w:pPr>
            <w:r w:rsidRPr="00240534">
              <w:rPr>
                <w:rFonts w:ascii="Calibri" w:hAnsi="Calibri" w:cs="Calibri"/>
              </w:rPr>
              <w:t>0.9268</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4</w:t>
            </w:r>
          </w:p>
        </w:tc>
        <w:tc>
          <w:tcPr>
            <w:tcW w:w="1676" w:type="dxa"/>
          </w:tcPr>
          <w:p w:rsidR="00F65E39" w:rsidRPr="00240534" w:rsidRDefault="00F65E39" w:rsidP="00240534">
            <w:pPr>
              <w:rPr>
                <w:rFonts w:ascii="Calibri" w:hAnsi="Calibri" w:cs="Calibri"/>
              </w:rPr>
            </w:pPr>
            <w:r w:rsidRPr="00240534">
              <w:rPr>
                <w:rFonts w:ascii="Calibri" w:hAnsi="Calibri" w:cs="Calibri"/>
              </w:rPr>
              <w:t>SupD</w:t>
            </w:r>
          </w:p>
        </w:tc>
        <w:tc>
          <w:tcPr>
            <w:tcW w:w="2126" w:type="dxa"/>
          </w:tcPr>
          <w:p w:rsidR="00F65E39" w:rsidRPr="00240534" w:rsidRDefault="00D64874" w:rsidP="00240534">
            <w:pPr>
              <w:rPr>
                <w:rFonts w:ascii="Calibri" w:hAnsi="Calibri" w:cs="Calibri"/>
              </w:rPr>
            </w:pPr>
            <w:r w:rsidRPr="00240534">
              <w:rPr>
                <w:rFonts w:ascii="Calibri" w:hAnsi="Calibri" w:cs="Calibri"/>
              </w:rPr>
              <w:t>0.0004</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4</w:t>
            </w:r>
          </w:p>
        </w:tc>
        <w:tc>
          <w:tcPr>
            <w:tcW w:w="972" w:type="dxa"/>
          </w:tcPr>
          <w:p w:rsidR="00F65E39" w:rsidRPr="00240534" w:rsidRDefault="00F65E39" w:rsidP="00240534">
            <w:pPr>
              <w:rPr>
                <w:rFonts w:ascii="Calibri" w:hAnsi="Calibri" w:cs="Calibri"/>
              </w:rPr>
            </w:pPr>
            <w:r w:rsidRPr="00240534">
              <w:rPr>
                <w:rFonts w:ascii="Calibri" w:hAnsi="Calibri" w:cs="Calibri"/>
              </w:rPr>
              <w:t>SupC</w:t>
            </w:r>
          </w:p>
        </w:tc>
        <w:tc>
          <w:tcPr>
            <w:tcW w:w="1701" w:type="dxa"/>
          </w:tcPr>
          <w:p w:rsidR="00F65E39" w:rsidRPr="00240534" w:rsidRDefault="00D64874" w:rsidP="00240534">
            <w:pPr>
              <w:rPr>
                <w:rFonts w:ascii="Calibri" w:hAnsi="Calibri" w:cs="Calibri"/>
              </w:rPr>
            </w:pPr>
            <w:r w:rsidRPr="00240534">
              <w:rPr>
                <w:rFonts w:ascii="Calibri" w:hAnsi="Calibri" w:cs="Calibri"/>
              </w:rPr>
              <w:t>0.0022</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5</w:t>
            </w:r>
          </w:p>
        </w:tc>
        <w:tc>
          <w:tcPr>
            <w:tcW w:w="1676" w:type="dxa"/>
          </w:tcPr>
          <w:p w:rsidR="00F65E39" w:rsidRPr="00240534" w:rsidRDefault="00F65E39" w:rsidP="00240534">
            <w:pPr>
              <w:rPr>
                <w:rFonts w:ascii="Calibri" w:hAnsi="Calibri" w:cs="Calibri"/>
              </w:rPr>
            </w:pPr>
            <w:r w:rsidRPr="00240534">
              <w:rPr>
                <w:rFonts w:ascii="Calibri" w:hAnsi="Calibri" w:cs="Calibri"/>
              </w:rPr>
              <w:t>VehSD</w:t>
            </w:r>
          </w:p>
        </w:tc>
        <w:tc>
          <w:tcPr>
            <w:tcW w:w="2126" w:type="dxa"/>
          </w:tcPr>
          <w:p w:rsidR="00F65E39" w:rsidRPr="00240534" w:rsidRDefault="00D64874" w:rsidP="00240534">
            <w:pPr>
              <w:rPr>
                <w:rFonts w:ascii="Calibri" w:hAnsi="Calibri" w:cs="Calibri"/>
              </w:rPr>
            </w:pPr>
            <w:r w:rsidRPr="00240534">
              <w:rPr>
                <w:rFonts w:ascii="Calibri" w:hAnsi="Calibri" w:cs="Calibri"/>
              </w:rPr>
              <w:t>0.0002</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5</w:t>
            </w:r>
          </w:p>
        </w:tc>
        <w:tc>
          <w:tcPr>
            <w:tcW w:w="972" w:type="dxa"/>
          </w:tcPr>
          <w:p w:rsidR="00F65E39" w:rsidRPr="00240534" w:rsidRDefault="00F65E39" w:rsidP="00240534">
            <w:pPr>
              <w:rPr>
                <w:rFonts w:ascii="Calibri" w:hAnsi="Calibri" w:cs="Calibri"/>
              </w:rPr>
            </w:pPr>
            <w:r w:rsidRPr="00240534">
              <w:rPr>
                <w:rFonts w:ascii="Calibri" w:hAnsi="Calibri" w:cs="Calibri"/>
              </w:rPr>
              <w:t>SupD</w:t>
            </w:r>
          </w:p>
        </w:tc>
        <w:tc>
          <w:tcPr>
            <w:tcW w:w="1701" w:type="dxa"/>
          </w:tcPr>
          <w:p w:rsidR="00F65E39" w:rsidRPr="00240534" w:rsidRDefault="00D64874" w:rsidP="00240534">
            <w:pPr>
              <w:rPr>
                <w:rFonts w:ascii="Calibri" w:hAnsi="Calibri" w:cs="Calibri"/>
              </w:rPr>
            </w:pPr>
            <w:r w:rsidRPr="00240534">
              <w:rPr>
                <w:rFonts w:ascii="Calibri" w:hAnsi="Calibri" w:cs="Calibri"/>
              </w:rPr>
              <w:t>0.0004</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6</w:t>
            </w:r>
          </w:p>
        </w:tc>
        <w:tc>
          <w:tcPr>
            <w:tcW w:w="1676" w:type="dxa"/>
          </w:tcPr>
          <w:p w:rsidR="00F65E39" w:rsidRPr="00240534" w:rsidRDefault="00F65E39" w:rsidP="00240534">
            <w:pPr>
              <w:rPr>
                <w:rFonts w:ascii="Calibri" w:hAnsi="Calibri" w:cs="Calibri"/>
              </w:rPr>
            </w:pPr>
            <w:proofErr w:type="spellStart"/>
            <w:r w:rsidRPr="00240534">
              <w:rPr>
                <w:rFonts w:ascii="Calibri" w:hAnsi="Calibri" w:cs="Calibri"/>
              </w:rPr>
              <w:t>MotSA.VehSC</w:t>
            </w:r>
            <w:proofErr w:type="spellEnd"/>
          </w:p>
        </w:tc>
        <w:tc>
          <w:tcPr>
            <w:tcW w:w="2126" w:type="dxa"/>
          </w:tcPr>
          <w:p w:rsidR="00F65E39" w:rsidRPr="00240534" w:rsidRDefault="00D64874" w:rsidP="00240534">
            <w:pPr>
              <w:rPr>
                <w:rFonts w:ascii="Calibri" w:hAnsi="Calibri" w:cs="Calibri"/>
              </w:rPr>
            </w:pPr>
            <w:r w:rsidRPr="00240534">
              <w:rPr>
                <w:rFonts w:ascii="Calibri" w:hAnsi="Calibri" w:cs="Calibri"/>
              </w:rPr>
              <w:t>0.0002</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6</w:t>
            </w:r>
          </w:p>
        </w:tc>
        <w:tc>
          <w:tcPr>
            <w:tcW w:w="972" w:type="dxa"/>
          </w:tcPr>
          <w:p w:rsidR="00F65E39" w:rsidRPr="00240534" w:rsidRDefault="00F65E39" w:rsidP="00240534">
            <w:pPr>
              <w:rPr>
                <w:rFonts w:ascii="Calibri" w:hAnsi="Calibri" w:cs="Calibri"/>
              </w:rPr>
            </w:pPr>
            <w:r w:rsidRPr="00240534">
              <w:rPr>
                <w:rFonts w:ascii="Calibri" w:hAnsi="Calibri" w:cs="Calibri"/>
              </w:rPr>
              <w:t>VehSD</w:t>
            </w:r>
          </w:p>
        </w:tc>
        <w:tc>
          <w:tcPr>
            <w:tcW w:w="1701" w:type="dxa"/>
          </w:tcPr>
          <w:p w:rsidR="00F65E39" w:rsidRPr="00240534" w:rsidRDefault="00D64874" w:rsidP="00240534">
            <w:pPr>
              <w:rPr>
                <w:rFonts w:ascii="Calibri" w:hAnsi="Calibri" w:cs="Calibri"/>
              </w:rPr>
            </w:pPr>
            <w:r w:rsidRPr="00240534">
              <w:rPr>
                <w:rFonts w:ascii="Calibri" w:hAnsi="Calibri" w:cs="Calibri"/>
              </w:rPr>
              <w:t>0.0002</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7</w:t>
            </w:r>
          </w:p>
        </w:tc>
        <w:tc>
          <w:tcPr>
            <w:tcW w:w="1676" w:type="dxa"/>
          </w:tcPr>
          <w:p w:rsidR="00F65E39" w:rsidRPr="00240534" w:rsidRDefault="00F65E39" w:rsidP="00240534">
            <w:pPr>
              <w:rPr>
                <w:rFonts w:ascii="Calibri" w:hAnsi="Calibri" w:cs="Calibri"/>
              </w:rPr>
            </w:pPr>
            <w:proofErr w:type="gramStart"/>
            <w:r w:rsidRPr="00240534">
              <w:rPr>
                <w:rFonts w:ascii="Calibri" w:hAnsi="Calibri" w:cs="Calibri"/>
              </w:rPr>
              <w:t>MotSC .</w:t>
            </w:r>
            <w:proofErr w:type="gramEnd"/>
            <w:r w:rsidRPr="00240534">
              <w:rPr>
                <w:rFonts w:ascii="Calibri" w:hAnsi="Calibri" w:cs="Calibri"/>
              </w:rPr>
              <w:t xml:space="preserve"> VehSA</w:t>
            </w:r>
          </w:p>
        </w:tc>
        <w:tc>
          <w:tcPr>
            <w:tcW w:w="2126" w:type="dxa"/>
          </w:tcPr>
          <w:p w:rsidR="00F65E39" w:rsidRPr="00240534" w:rsidRDefault="00D64874" w:rsidP="00240534">
            <w:pPr>
              <w:rPr>
                <w:rFonts w:ascii="Calibri" w:hAnsi="Calibri" w:cs="Calibri"/>
              </w:rPr>
            </w:pPr>
            <w:r w:rsidRPr="00240534">
              <w:rPr>
                <w:rFonts w:ascii="Calibri" w:hAnsi="Calibri" w:cs="Calibri"/>
              </w:rPr>
              <w:t>0.00022</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7</w:t>
            </w:r>
          </w:p>
        </w:tc>
        <w:tc>
          <w:tcPr>
            <w:tcW w:w="972" w:type="dxa"/>
          </w:tcPr>
          <w:p w:rsidR="00F65E39" w:rsidRPr="00240534" w:rsidRDefault="00F65E39" w:rsidP="00240534">
            <w:pPr>
              <w:rPr>
                <w:rFonts w:ascii="Calibri" w:hAnsi="Calibri" w:cs="Calibri"/>
              </w:rPr>
            </w:pPr>
            <w:r w:rsidRPr="00240534">
              <w:rPr>
                <w:rFonts w:ascii="Calibri" w:hAnsi="Calibri" w:cs="Calibri"/>
              </w:rPr>
              <w:t>VehSA</w:t>
            </w:r>
          </w:p>
        </w:tc>
        <w:tc>
          <w:tcPr>
            <w:tcW w:w="1701" w:type="dxa"/>
          </w:tcPr>
          <w:p w:rsidR="00F65E39" w:rsidRPr="00240534" w:rsidRDefault="00D64874" w:rsidP="00240534">
            <w:pPr>
              <w:rPr>
                <w:rFonts w:ascii="Calibri" w:hAnsi="Calibri" w:cs="Calibri"/>
              </w:rPr>
            </w:pPr>
            <w:r w:rsidRPr="00240534">
              <w:rPr>
                <w:rFonts w:ascii="Calibri" w:hAnsi="Calibri" w:cs="Calibri"/>
              </w:rPr>
              <w:t>0.0002</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8</w:t>
            </w:r>
          </w:p>
        </w:tc>
        <w:tc>
          <w:tcPr>
            <w:tcW w:w="1676" w:type="dxa"/>
          </w:tcPr>
          <w:p w:rsidR="00F65E39" w:rsidRPr="00240534" w:rsidRDefault="00F65E39" w:rsidP="00240534">
            <w:pPr>
              <w:rPr>
                <w:rFonts w:ascii="Calibri" w:hAnsi="Calibri" w:cs="Calibri"/>
              </w:rPr>
            </w:pPr>
            <w:proofErr w:type="spellStart"/>
            <w:r w:rsidRPr="00240534">
              <w:rPr>
                <w:rFonts w:ascii="Calibri" w:hAnsi="Calibri" w:cs="Calibri"/>
              </w:rPr>
              <w:t>SupA.SupB</w:t>
            </w:r>
            <w:proofErr w:type="spellEnd"/>
          </w:p>
        </w:tc>
        <w:tc>
          <w:tcPr>
            <w:tcW w:w="2126" w:type="dxa"/>
          </w:tcPr>
          <w:p w:rsidR="00F65E39" w:rsidRPr="00240534" w:rsidRDefault="00D64874" w:rsidP="00240534">
            <w:pPr>
              <w:rPr>
                <w:rFonts w:ascii="Calibri" w:hAnsi="Calibri" w:cs="Calibri"/>
              </w:rPr>
            </w:pPr>
            <w:r w:rsidRPr="00240534">
              <w:rPr>
                <w:rFonts w:ascii="Calibri" w:hAnsi="Calibri" w:cs="Calibri"/>
              </w:rPr>
              <w:t>9.581</w:t>
            </w:r>
            <w:r w:rsidR="00F65E39" w:rsidRPr="00240534">
              <w:rPr>
                <w:rFonts w:ascii="Calibri" w:hAnsi="Calibri" w:cs="Calibri"/>
              </w:rPr>
              <w:t>E-07</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8</w:t>
            </w:r>
          </w:p>
        </w:tc>
        <w:tc>
          <w:tcPr>
            <w:tcW w:w="972" w:type="dxa"/>
          </w:tcPr>
          <w:p w:rsidR="00F65E39" w:rsidRPr="00240534" w:rsidRDefault="00F65E39" w:rsidP="00240534">
            <w:pPr>
              <w:rPr>
                <w:rFonts w:ascii="Calibri" w:hAnsi="Calibri" w:cs="Calibri"/>
              </w:rPr>
            </w:pPr>
            <w:r w:rsidRPr="00240534">
              <w:rPr>
                <w:rFonts w:ascii="Calibri" w:hAnsi="Calibri" w:cs="Calibri"/>
              </w:rPr>
              <w:t>VehSC</w:t>
            </w:r>
          </w:p>
        </w:tc>
        <w:tc>
          <w:tcPr>
            <w:tcW w:w="1701" w:type="dxa"/>
          </w:tcPr>
          <w:p w:rsidR="00F65E39" w:rsidRPr="00240534" w:rsidRDefault="00D64874" w:rsidP="00240534">
            <w:pPr>
              <w:rPr>
                <w:rFonts w:ascii="Calibri" w:hAnsi="Calibri" w:cs="Calibri"/>
              </w:rPr>
            </w:pPr>
            <w:r w:rsidRPr="00240534">
              <w:rPr>
                <w:rFonts w:ascii="Calibri" w:hAnsi="Calibri" w:cs="Calibri"/>
              </w:rPr>
              <w:t>0.0002</w:t>
            </w:r>
          </w:p>
        </w:tc>
      </w:tr>
      <w:tr w:rsidR="00F65E39" w:rsidRPr="00240534" w:rsidTr="00794312">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9</w:t>
            </w:r>
          </w:p>
        </w:tc>
        <w:tc>
          <w:tcPr>
            <w:tcW w:w="1676" w:type="dxa"/>
          </w:tcPr>
          <w:p w:rsidR="00F65E39" w:rsidRPr="00240534" w:rsidRDefault="00F65E39" w:rsidP="00240534">
            <w:pPr>
              <w:rPr>
                <w:rFonts w:ascii="Calibri" w:hAnsi="Calibri" w:cs="Calibri"/>
              </w:rPr>
            </w:pPr>
            <w:proofErr w:type="gramStart"/>
            <w:r w:rsidRPr="00240534">
              <w:rPr>
                <w:rFonts w:ascii="Calibri" w:hAnsi="Calibri" w:cs="Calibri"/>
              </w:rPr>
              <w:t>SupC .</w:t>
            </w:r>
            <w:proofErr w:type="gramEnd"/>
            <w:r w:rsidRPr="00240534">
              <w:rPr>
                <w:rFonts w:ascii="Calibri" w:hAnsi="Calibri" w:cs="Calibri"/>
              </w:rPr>
              <w:t xml:space="preserve"> VehSA</w:t>
            </w:r>
          </w:p>
        </w:tc>
        <w:tc>
          <w:tcPr>
            <w:tcW w:w="2126" w:type="dxa"/>
          </w:tcPr>
          <w:p w:rsidR="00F65E39" w:rsidRPr="00240534" w:rsidRDefault="00D64874" w:rsidP="00240534">
            <w:pPr>
              <w:rPr>
                <w:rFonts w:ascii="Calibri" w:hAnsi="Calibri" w:cs="Calibri"/>
              </w:rPr>
            </w:pPr>
            <w:r w:rsidRPr="00240534">
              <w:rPr>
                <w:rFonts w:ascii="Calibri" w:hAnsi="Calibri" w:cs="Calibri"/>
              </w:rPr>
              <w:t>5.482</w:t>
            </w:r>
            <w:r w:rsidR="00F65E39" w:rsidRPr="00240534">
              <w:rPr>
                <w:rFonts w:ascii="Calibri" w:hAnsi="Calibri" w:cs="Calibri"/>
              </w:rPr>
              <w:t>E-07</w:t>
            </w:r>
          </w:p>
        </w:tc>
        <w:tc>
          <w:tcPr>
            <w:tcW w:w="426" w:type="dxa"/>
            <w:vMerge/>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9</w:t>
            </w:r>
          </w:p>
        </w:tc>
        <w:tc>
          <w:tcPr>
            <w:tcW w:w="972" w:type="dxa"/>
          </w:tcPr>
          <w:p w:rsidR="00F65E39" w:rsidRPr="00240534" w:rsidRDefault="00F65E39" w:rsidP="00240534">
            <w:pPr>
              <w:rPr>
                <w:rFonts w:ascii="Calibri" w:hAnsi="Calibri" w:cs="Calibri"/>
              </w:rPr>
            </w:pPr>
            <w:r w:rsidRPr="00240534">
              <w:rPr>
                <w:rFonts w:ascii="Calibri" w:hAnsi="Calibri" w:cs="Calibri"/>
              </w:rPr>
              <w:t>SupB</w:t>
            </w:r>
          </w:p>
        </w:tc>
        <w:tc>
          <w:tcPr>
            <w:tcW w:w="1701" w:type="dxa"/>
          </w:tcPr>
          <w:p w:rsidR="00F65E39" w:rsidRPr="00240534" w:rsidRDefault="00D64874" w:rsidP="00240534">
            <w:pPr>
              <w:rPr>
                <w:rFonts w:ascii="Calibri" w:hAnsi="Calibri" w:cs="Calibri"/>
              </w:rPr>
            </w:pPr>
            <w:r w:rsidRPr="00240534">
              <w:rPr>
                <w:rFonts w:ascii="Calibri" w:hAnsi="Calibri" w:cs="Calibri"/>
              </w:rPr>
              <w:t>9.608</w:t>
            </w:r>
            <w:r w:rsidR="00F65E39" w:rsidRPr="00240534">
              <w:rPr>
                <w:rFonts w:ascii="Calibri" w:hAnsi="Calibri" w:cs="Calibri"/>
              </w:rPr>
              <w:t>E-07</w:t>
            </w:r>
          </w:p>
        </w:tc>
      </w:tr>
      <w:tr w:rsidR="00F65E39" w:rsidRPr="00240534" w:rsidTr="00F65E39">
        <w:trPr>
          <w:jc w:val="center"/>
        </w:trPr>
        <w:tc>
          <w:tcPr>
            <w:tcW w:w="729" w:type="dxa"/>
          </w:tcPr>
          <w:p w:rsidR="00F65E39" w:rsidRPr="00240534" w:rsidRDefault="00F65E39" w:rsidP="00240534">
            <w:pPr>
              <w:rPr>
                <w:rFonts w:ascii="Calibri" w:hAnsi="Calibri" w:cs="Calibri"/>
              </w:rPr>
            </w:pPr>
            <w:r w:rsidRPr="00240534">
              <w:rPr>
                <w:rFonts w:ascii="Calibri" w:hAnsi="Calibri" w:cs="Calibri"/>
              </w:rPr>
              <w:t>10</w:t>
            </w:r>
          </w:p>
        </w:tc>
        <w:tc>
          <w:tcPr>
            <w:tcW w:w="1676" w:type="dxa"/>
          </w:tcPr>
          <w:p w:rsidR="00F65E39" w:rsidRPr="00240534" w:rsidRDefault="00F65E39" w:rsidP="00240534">
            <w:pPr>
              <w:rPr>
                <w:rFonts w:ascii="Calibri" w:hAnsi="Calibri" w:cs="Calibri"/>
              </w:rPr>
            </w:pPr>
            <w:proofErr w:type="gramStart"/>
            <w:r w:rsidRPr="00240534">
              <w:rPr>
                <w:rFonts w:ascii="Calibri" w:hAnsi="Calibri" w:cs="Calibri"/>
              </w:rPr>
              <w:t>VehSA .</w:t>
            </w:r>
            <w:proofErr w:type="gramEnd"/>
            <w:r w:rsidRPr="00240534">
              <w:rPr>
                <w:rFonts w:ascii="Calibri" w:hAnsi="Calibri" w:cs="Calibri"/>
              </w:rPr>
              <w:t xml:space="preserve"> VehSC</w:t>
            </w:r>
          </w:p>
        </w:tc>
        <w:tc>
          <w:tcPr>
            <w:tcW w:w="2126" w:type="dxa"/>
          </w:tcPr>
          <w:p w:rsidR="00F65E39" w:rsidRPr="00240534" w:rsidRDefault="00D64874" w:rsidP="00240534">
            <w:pPr>
              <w:rPr>
                <w:rFonts w:ascii="Calibri" w:hAnsi="Calibri" w:cs="Calibri"/>
              </w:rPr>
            </w:pPr>
            <w:r w:rsidRPr="00240534">
              <w:rPr>
                <w:rFonts w:ascii="Calibri" w:hAnsi="Calibri" w:cs="Calibri"/>
              </w:rPr>
              <w:t>5.540</w:t>
            </w:r>
            <w:r w:rsidR="00F65E39" w:rsidRPr="00240534">
              <w:rPr>
                <w:rFonts w:ascii="Calibri" w:hAnsi="Calibri" w:cs="Calibri"/>
              </w:rPr>
              <w:t>E-08</w:t>
            </w:r>
          </w:p>
        </w:tc>
        <w:tc>
          <w:tcPr>
            <w:tcW w:w="426" w:type="dxa"/>
            <w:vMerge/>
            <w:tcBorders>
              <w:bottom w:val="single" w:sz="4" w:space="0" w:color="FFFFFF" w:themeColor="background1"/>
            </w:tcBorders>
          </w:tcPr>
          <w:p w:rsidR="00F65E39" w:rsidRPr="00240534" w:rsidRDefault="00F65E39" w:rsidP="00240534">
            <w:pPr>
              <w:rPr>
                <w:rFonts w:ascii="Calibri" w:hAnsi="Calibri" w:cs="Calibri"/>
              </w:rPr>
            </w:pPr>
          </w:p>
        </w:tc>
        <w:tc>
          <w:tcPr>
            <w:tcW w:w="729" w:type="dxa"/>
          </w:tcPr>
          <w:p w:rsidR="00F65E39" w:rsidRPr="00240534" w:rsidRDefault="00F65E39" w:rsidP="00240534">
            <w:pPr>
              <w:rPr>
                <w:rFonts w:ascii="Calibri" w:hAnsi="Calibri" w:cs="Calibri"/>
              </w:rPr>
            </w:pPr>
            <w:r w:rsidRPr="00240534">
              <w:rPr>
                <w:rFonts w:ascii="Calibri" w:hAnsi="Calibri" w:cs="Calibri"/>
              </w:rPr>
              <w:t>10</w:t>
            </w:r>
          </w:p>
        </w:tc>
        <w:tc>
          <w:tcPr>
            <w:tcW w:w="972" w:type="dxa"/>
          </w:tcPr>
          <w:p w:rsidR="00F65E39" w:rsidRPr="00240534" w:rsidRDefault="00F65E39" w:rsidP="00240534">
            <w:pPr>
              <w:rPr>
                <w:rFonts w:ascii="Calibri" w:hAnsi="Calibri" w:cs="Calibri"/>
              </w:rPr>
            </w:pPr>
            <w:r w:rsidRPr="00240534">
              <w:rPr>
                <w:rFonts w:ascii="Calibri" w:hAnsi="Calibri" w:cs="Calibri"/>
              </w:rPr>
              <w:t>SupA</w:t>
            </w:r>
          </w:p>
        </w:tc>
        <w:tc>
          <w:tcPr>
            <w:tcW w:w="1701" w:type="dxa"/>
          </w:tcPr>
          <w:p w:rsidR="00F65E39" w:rsidRPr="00240534" w:rsidRDefault="00D64874" w:rsidP="00240534">
            <w:pPr>
              <w:rPr>
                <w:rFonts w:ascii="Calibri" w:hAnsi="Calibri" w:cs="Calibri"/>
              </w:rPr>
            </w:pPr>
            <w:r w:rsidRPr="00240534">
              <w:rPr>
                <w:rFonts w:ascii="Calibri" w:hAnsi="Calibri" w:cs="Calibri"/>
              </w:rPr>
              <w:t>9.608</w:t>
            </w:r>
            <w:r w:rsidR="00F65E39" w:rsidRPr="00240534">
              <w:rPr>
                <w:rFonts w:ascii="Calibri" w:hAnsi="Calibri" w:cs="Calibri"/>
              </w:rPr>
              <w:t>E-07</w:t>
            </w:r>
          </w:p>
        </w:tc>
      </w:tr>
    </w:tbl>
    <w:p w:rsidR="00C05FB6" w:rsidRPr="00240534" w:rsidRDefault="00C05FB6" w:rsidP="00240534">
      <w:pPr>
        <w:spacing w:line="240" w:lineRule="auto"/>
        <w:jc w:val="both"/>
        <w:rPr>
          <w:rFonts w:ascii="Calibri" w:hAnsi="Calibri" w:cs="Calibri"/>
        </w:rPr>
      </w:pPr>
    </w:p>
    <w:p w:rsidR="00C05FB6" w:rsidRPr="00240534" w:rsidRDefault="00C05FB6" w:rsidP="00240534">
      <w:pPr>
        <w:spacing w:line="240" w:lineRule="auto"/>
        <w:jc w:val="center"/>
        <w:rPr>
          <w:rFonts w:ascii="Calibri" w:hAnsi="Calibri" w:cs="Calibri"/>
        </w:rPr>
      </w:pPr>
      <w:r w:rsidRPr="00240534">
        <w:rPr>
          <w:rFonts w:ascii="Calibri" w:hAnsi="Calibri" w:cs="Calibri"/>
        </w:rPr>
        <w:t xml:space="preserve">Table </w:t>
      </w:r>
      <w:r w:rsidR="00CE43A7" w:rsidRPr="00240534">
        <w:rPr>
          <w:rFonts w:ascii="Calibri" w:hAnsi="Calibri" w:cs="Calibri"/>
        </w:rPr>
        <w:t>2</w:t>
      </w:r>
      <w:r w:rsidRPr="00240534">
        <w:rPr>
          <w:rFonts w:ascii="Calibri" w:hAnsi="Calibri" w:cs="Calibri"/>
        </w:rPr>
        <w:t xml:space="preserve">: </w:t>
      </w:r>
      <w:r w:rsidR="00CE43A7" w:rsidRPr="00240534">
        <w:rPr>
          <w:rFonts w:ascii="Calibri" w:hAnsi="Calibri" w:cs="Calibri"/>
        </w:rPr>
        <w:t>Top ten contributing MCSQs (left) and events (right)</w:t>
      </w:r>
    </w:p>
    <w:p w:rsidR="00C05FB6" w:rsidRPr="00240534" w:rsidRDefault="00C05FB6" w:rsidP="00240534">
      <w:pPr>
        <w:spacing w:line="240" w:lineRule="auto"/>
        <w:jc w:val="both"/>
        <w:rPr>
          <w:rFonts w:ascii="Calibri" w:hAnsi="Calibri" w:cs="Calibri"/>
        </w:rPr>
      </w:pPr>
    </w:p>
    <w:p w:rsidR="00853714" w:rsidRPr="00240534" w:rsidRDefault="00853714" w:rsidP="00240534">
      <w:pPr>
        <w:pStyle w:val="Heading1"/>
        <w:spacing w:line="240" w:lineRule="auto"/>
        <w:jc w:val="both"/>
        <w:rPr>
          <w:rFonts w:ascii="Calibri" w:hAnsi="Calibri" w:cs="Calibri"/>
          <w:szCs w:val="22"/>
        </w:rPr>
      </w:pPr>
      <w:r w:rsidRPr="00240534">
        <w:rPr>
          <w:rFonts w:ascii="Calibri" w:hAnsi="Calibri" w:cs="Calibri"/>
          <w:szCs w:val="22"/>
        </w:rPr>
        <w:lastRenderedPageBreak/>
        <w:t>Discussion</w:t>
      </w:r>
    </w:p>
    <w:p w:rsidR="00813CAB" w:rsidRPr="00240534" w:rsidRDefault="00F702E3" w:rsidP="00240534">
      <w:pPr>
        <w:spacing w:line="240" w:lineRule="auto"/>
        <w:jc w:val="both"/>
        <w:rPr>
          <w:rFonts w:ascii="Calibri" w:hAnsi="Calibri" w:cs="Calibri"/>
        </w:rPr>
      </w:pPr>
      <w:r w:rsidRPr="00240534">
        <w:rPr>
          <w:rFonts w:ascii="Calibri" w:hAnsi="Calibri" w:cs="Calibri"/>
        </w:rPr>
        <w:t>Motorway disruption to Supply-D is the most critical point of the supply chain; it features as a single point of failure (</w:t>
      </w:r>
      <w:r w:rsidR="00462A89" w:rsidRPr="00240534">
        <w:rPr>
          <w:rFonts w:ascii="Calibri" w:hAnsi="Calibri" w:cs="Calibri"/>
        </w:rPr>
        <w:t>Table 2</w:t>
      </w:r>
      <w:r w:rsidRPr="00240534">
        <w:rPr>
          <w:rFonts w:ascii="Calibri" w:hAnsi="Calibri" w:cs="Calibri"/>
        </w:rPr>
        <w:t xml:space="preserve"> – left) </w:t>
      </w:r>
      <w:r w:rsidR="002D4382" w:rsidRPr="00240534">
        <w:rPr>
          <w:rFonts w:ascii="Calibri" w:hAnsi="Calibri" w:cs="Calibri"/>
        </w:rPr>
        <w:t>and</w:t>
      </w:r>
      <w:r w:rsidRPr="00240534">
        <w:rPr>
          <w:rFonts w:ascii="Calibri" w:hAnsi="Calibri" w:cs="Calibri"/>
        </w:rPr>
        <w:t xml:space="preserve"> as the biggest contributor to the top event (</w:t>
      </w:r>
      <w:r w:rsidR="00462A89" w:rsidRPr="00240534">
        <w:rPr>
          <w:rFonts w:ascii="Calibri" w:hAnsi="Calibri" w:cs="Calibri"/>
        </w:rPr>
        <w:t>Table 2</w:t>
      </w:r>
      <w:r w:rsidRPr="00240534">
        <w:rPr>
          <w:rFonts w:ascii="Calibri" w:hAnsi="Calibri" w:cs="Calibri"/>
        </w:rPr>
        <w:t xml:space="preserve"> – right). From the top ten list, Supply-A is the least contributor to </w:t>
      </w:r>
      <w:r w:rsidR="00BA5C5C" w:rsidRPr="00240534">
        <w:rPr>
          <w:rFonts w:ascii="Calibri" w:hAnsi="Calibri" w:cs="Calibri"/>
        </w:rPr>
        <w:t>the top event</w:t>
      </w:r>
      <w:r w:rsidRPr="00240534">
        <w:rPr>
          <w:rFonts w:ascii="Calibri" w:hAnsi="Calibri" w:cs="Calibri"/>
        </w:rPr>
        <w:t xml:space="preserve">. This suggests that more resources should be channelled into making the supply of packaging more reliable because it is more likely to lead to failure in order fulfilment. </w:t>
      </w:r>
      <w:r w:rsidR="00D330F0" w:rsidRPr="00240534">
        <w:rPr>
          <w:rFonts w:ascii="Calibri" w:hAnsi="Calibri" w:cs="Calibri"/>
        </w:rPr>
        <w:t xml:space="preserve">An interesting point to deduce from the result is that, though VehSD is a single point of failure, its failure does not contribute much to the top-event as the failure of MotSA which is not a single point of failure. This could be because according to the failure data in Table 1, the former is relatively less likely to occur. </w:t>
      </w:r>
      <w:r w:rsidR="00BA5C5C" w:rsidRPr="00240534">
        <w:rPr>
          <w:rFonts w:ascii="Calibri" w:hAnsi="Calibri" w:cs="Calibri"/>
        </w:rPr>
        <w:t>The techniques</w:t>
      </w:r>
      <w:r w:rsidR="00BA18E9" w:rsidRPr="00240534">
        <w:rPr>
          <w:rFonts w:ascii="Calibri" w:hAnsi="Calibri" w:cs="Calibri"/>
        </w:rPr>
        <w:t xml:space="preserve"> tha</w:t>
      </w:r>
      <w:r w:rsidR="00BA5C5C" w:rsidRPr="00240534">
        <w:rPr>
          <w:rFonts w:ascii="Calibri" w:hAnsi="Calibri" w:cs="Calibri"/>
        </w:rPr>
        <w:t>t</w:t>
      </w:r>
      <w:r w:rsidR="00BA18E9" w:rsidRPr="00240534">
        <w:rPr>
          <w:rFonts w:ascii="Calibri" w:hAnsi="Calibri" w:cs="Calibri"/>
        </w:rPr>
        <w:t xml:space="preserve"> underpin TFT analysis make visible the interrelationships that exist between events</w:t>
      </w:r>
      <w:r w:rsidR="00BA5C5C" w:rsidRPr="00240534">
        <w:rPr>
          <w:rFonts w:ascii="Calibri" w:hAnsi="Calibri" w:cs="Calibri"/>
        </w:rPr>
        <w:t xml:space="preserve"> </w:t>
      </w:r>
      <w:r w:rsidR="00BA18E9" w:rsidRPr="00240534">
        <w:rPr>
          <w:rFonts w:ascii="Calibri" w:hAnsi="Calibri" w:cs="Calibri"/>
        </w:rPr>
        <w:t xml:space="preserve">and the probability of their </w:t>
      </w:r>
      <w:r w:rsidR="00BA5C5C" w:rsidRPr="00240534">
        <w:rPr>
          <w:rFonts w:ascii="Calibri" w:hAnsi="Calibri" w:cs="Calibri"/>
        </w:rPr>
        <w:t>occurrence</w:t>
      </w:r>
      <w:r w:rsidR="00BA18E9" w:rsidRPr="00240534">
        <w:rPr>
          <w:rFonts w:ascii="Calibri" w:hAnsi="Calibri" w:cs="Calibri"/>
        </w:rPr>
        <w:t xml:space="preserve">. Such information is usually obscured in the </w:t>
      </w:r>
      <w:r w:rsidR="00BA5C5C" w:rsidRPr="00240534">
        <w:rPr>
          <w:rFonts w:ascii="Calibri" w:hAnsi="Calibri" w:cs="Calibri"/>
        </w:rPr>
        <w:t>complexity</w:t>
      </w:r>
      <w:r w:rsidR="00BA18E9" w:rsidRPr="00240534">
        <w:rPr>
          <w:rFonts w:ascii="Calibri" w:hAnsi="Calibri" w:cs="Calibri"/>
        </w:rPr>
        <w:t xml:space="preserve"> of </w:t>
      </w:r>
      <w:r w:rsidR="00092068" w:rsidRPr="00240534">
        <w:rPr>
          <w:rFonts w:ascii="Calibri" w:hAnsi="Calibri" w:cs="Calibri"/>
        </w:rPr>
        <w:t xml:space="preserve">many large real-world </w:t>
      </w:r>
      <w:r w:rsidR="00BA18E9" w:rsidRPr="00240534">
        <w:rPr>
          <w:rFonts w:ascii="Calibri" w:hAnsi="Calibri" w:cs="Calibri"/>
        </w:rPr>
        <w:t xml:space="preserve">supply chain operations. </w:t>
      </w:r>
    </w:p>
    <w:p w:rsidR="00C265B3" w:rsidRPr="00240534" w:rsidRDefault="00C265B3" w:rsidP="00240534">
      <w:pPr>
        <w:spacing w:line="240" w:lineRule="auto"/>
        <w:jc w:val="both"/>
        <w:rPr>
          <w:rFonts w:ascii="Calibri" w:hAnsi="Calibri" w:cs="Calibri"/>
        </w:rPr>
      </w:pPr>
    </w:p>
    <w:p w:rsidR="00C265B3" w:rsidRPr="00240534" w:rsidRDefault="00C265B3" w:rsidP="00240534">
      <w:pPr>
        <w:spacing w:line="240" w:lineRule="auto"/>
        <w:jc w:val="both"/>
        <w:rPr>
          <w:rFonts w:ascii="Calibri" w:hAnsi="Calibri" w:cs="Calibri"/>
        </w:rPr>
      </w:pPr>
      <w:r w:rsidRPr="00240534">
        <w:rPr>
          <w:rFonts w:ascii="Calibri" w:hAnsi="Calibri" w:cs="Calibri"/>
        </w:rPr>
        <w:t>The</w:t>
      </w:r>
      <w:r w:rsidR="00DE01F6" w:rsidRPr="00240534">
        <w:rPr>
          <w:rFonts w:ascii="Calibri" w:hAnsi="Calibri" w:cs="Calibri"/>
        </w:rPr>
        <w:t>re are several</w:t>
      </w:r>
      <w:r w:rsidRPr="00240534">
        <w:rPr>
          <w:rFonts w:ascii="Calibri" w:hAnsi="Calibri" w:cs="Calibri"/>
        </w:rPr>
        <w:t xml:space="preserve"> benefits of using a dynamic technique, such as TFT, to model and analyse supply chain </w:t>
      </w:r>
      <w:r w:rsidR="00DE01F6" w:rsidRPr="00240534">
        <w:rPr>
          <w:rFonts w:ascii="Calibri" w:hAnsi="Calibri" w:cs="Calibri"/>
        </w:rPr>
        <w:t>risk</w:t>
      </w:r>
      <w:r w:rsidRPr="00240534">
        <w:rPr>
          <w:rFonts w:ascii="Calibri" w:hAnsi="Calibri" w:cs="Calibri"/>
        </w:rPr>
        <w:t>. As is obvious from Kelso’s example (though hypothetical), it can be used to (1) improve the supply chain network configuration (2) identify single points of failure in the supply chain network (3) pin-point critical aspects of the supply chain (4) identify combinations of supply chain network events that contribute most to the failure of the supply chain. Given some data on the severity of these events, the risks associated with each event can also be evaluated.</w:t>
      </w:r>
      <w:r w:rsidR="00BC1E07" w:rsidRPr="00240534">
        <w:rPr>
          <w:rFonts w:ascii="Calibri" w:hAnsi="Calibri" w:cs="Calibri"/>
        </w:rPr>
        <w:t xml:space="preserve"> FTA is flexible; whenever changes are applied to the supply chain network, the corresponding fault tree can be adjusted accordingly and re-evaluated to show how the changes impact the entire system.</w:t>
      </w:r>
    </w:p>
    <w:p w:rsidR="003A7CEB" w:rsidRPr="00240534" w:rsidRDefault="003A7CEB" w:rsidP="00240534">
      <w:pPr>
        <w:spacing w:line="240" w:lineRule="auto"/>
        <w:jc w:val="both"/>
        <w:rPr>
          <w:rFonts w:ascii="Calibri" w:hAnsi="Calibri" w:cs="Calibri"/>
        </w:rPr>
      </w:pPr>
    </w:p>
    <w:p w:rsidR="00D23E2D" w:rsidRPr="00240534" w:rsidRDefault="00D23E2D" w:rsidP="00240534">
      <w:pPr>
        <w:pStyle w:val="Heading1"/>
        <w:spacing w:line="240" w:lineRule="auto"/>
        <w:jc w:val="both"/>
        <w:rPr>
          <w:rFonts w:ascii="Calibri" w:hAnsi="Calibri" w:cs="Calibri"/>
          <w:szCs w:val="22"/>
        </w:rPr>
      </w:pPr>
      <w:r w:rsidRPr="00240534">
        <w:rPr>
          <w:rFonts w:ascii="Calibri" w:hAnsi="Calibri" w:cs="Calibri"/>
          <w:szCs w:val="22"/>
        </w:rPr>
        <w:t>Conclusion</w:t>
      </w:r>
    </w:p>
    <w:p w:rsidR="0018114F" w:rsidRPr="00240534" w:rsidRDefault="004A4174" w:rsidP="00240534">
      <w:pPr>
        <w:spacing w:line="240" w:lineRule="auto"/>
        <w:jc w:val="both"/>
        <w:rPr>
          <w:rFonts w:ascii="Calibri" w:hAnsi="Calibri" w:cs="Calibri"/>
        </w:rPr>
      </w:pPr>
      <w:r w:rsidRPr="00240534">
        <w:rPr>
          <w:rFonts w:ascii="Calibri" w:hAnsi="Calibri" w:cs="Calibri"/>
        </w:rPr>
        <w:t>Supply chains are critical to business</w:t>
      </w:r>
      <w:r w:rsidR="001743C7" w:rsidRPr="00240534">
        <w:rPr>
          <w:rFonts w:ascii="Calibri" w:hAnsi="Calibri" w:cs="Calibri"/>
        </w:rPr>
        <w:t xml:space="preserve"> success</w:t>
      </w:r>
      <w:r w:rsidRPr="00240534">
        <w:rPr>
          <w:rFonts w:ascii="Calibri" w:hAnsi="Calibri" w:cs="Calibri"/>
        </w:rPr>
        <w:t xml:space="preserve"> therefore their resilience should be a priority for any business. However, analysing the resilience of a supply chain can be a daunting task. FTA, a technique popular in engineering has been used in analysing the supply chains, however, these analysis fail to capture some dynamic real-world scenarios. </w:t>
      </w:r>
    </w:p>
    <w:p w:rsidR="0018114F" w:rsidRPr="00240534" w:rsidRDefault="0018114F" w:rsidP="00240534">
      <w:pPr>
        <w:spacing w:line="240" w:lineRule="auto"/>
        <w:jc w:val="both"/>
        <w:rPr>
          <w:rFonts w:ascii="Calibri" w:hAnsi="Calibri" w:cs="Calibri"/>
        </w:rPr>
      </w:pPr>
    </w:p>
    <w:p w:rsidR="00D23E2D" w:rsidRPr="00240534" w:rsidRDefault="0018114F" w:rsidP="00240534">
      <w:pPr>
        <w:spacing w:line="240" w:lineRule="auto"/>
        <w:jc w:val="both"/>
        <w:rPr>
          <w:rFonts w:ascii="Calibri" w:hAnsi="Calibri" w:cs="Calibri"/>
        </w:rPr>
      </w:pPr>
      <w:r w:rsidRPr="00240534">
        <w:rPr>
          <w:rFonts w:ascii="Calibri" w:hAnsi="Calibri" w:cs="Calibri"/>
        </w:rPr>
        <w:t>In this paper,</w:t>
      </w:r>
      <w:r w:rsidR="00A97E40" w:rsidRPr="00240534">
        <w:rPr>
          <w:rFonts w:ascii="Calibri" w:hAnsi="Calibri" w:cs="Calibri"/>
        </w:rPr>
        <w:t xml:space="preserve"> TFT analysis (a modification of traditional FTA), has been used to model and analyse a small supply chain network as a proof of concept. </w:t>
      </w:r>
      <w:r w:rsidR="00164BB0" w:rsidRPr="00240534">
        <w:rPr>
          <w:rFonts w:ascii="Calibri" w:hAnsi="Calibri" w:cs="Calibri"/>
        </w:rPr>
        <w:t>The potential benefits of this technique have been demonstrated and it is evident that TFTs can contribute to the improvement of supply chain network resilience.</w:t>
      </w:r>
    </w:p>
    <w:p w:rsidR="00A00409" w:rsidRPr="00240534" w:rsidRDefault="00A00409" w:rsidP="00240534">
      <w:pPr>
        <w:spacing w:line="240" w:lineRule="auto"/>
        <w:jc w:val="both"/>
        <w:rPr>
          <w:rFonts w:ascii="Calibri" w:hAnsi="Calibri" w:cs="Calibri"/>
        </w:rPr>
      </w:pPr>
    </w:p>
    <w:p w:rsidR="00D23E2D" w:rsidRPr="00240534" w:rsidRDefault="00D23E2D" w:rsidP="00240534">
      <w:pPr>
        <w:pStyle w:val="Heading1"/>
        <w:spacing w:line="240" w:lineRule="auto"/>
        <w:jc w:val="both"/>
        <w:rPr>
          <w:rFonts w:ascii="Calibri" w:hAnsi="Calibri" w:cs="Calibri"/>
          <w:szCs w:val="22"/>
        </w:rPr>
      </w:pPr>
      <w:r w:rsidRPr="00240534">
        <w:rPr>
          <w:rFonts w:ascii="Calibri" w:hAnsi="Calibri" w:cs="Calibri"/>
          <w:szCs w:val="22"/>
        </w:rPr>
        <w:t>References</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proofErr w:type="spellStart"/>
      <w:r w:rsidRPr="00240534">
        <w:rPr>
          <w:rFonts w:ascii="Calibri" w:hAnsi="Calibri" w:cs="Calibri"/>
        </w:rPr>
        <w:t>Baumgartener</w:t>
      </w:r>
      <w:proofErr w:type="spellEnd"/>
      <w:r w:rsidRPr="00240534">
        <w:rPr>
          <w:rFonts w:ascii="Calibri" w:hAnsi="Calibri" w:cs="Calibri"/>
        </w:rPr>
        <w:t>, K.</w:t>
      </w:r>
      <w:r w:rsidR="00103C70" w:rsidRPr="00240534">
        <w:rPr>
          <w:rFonts w:ascii="Calibri" w:hAnsi="Calibri" w:cs="Calibri"/>
        </w:rPr>
        <w:t>, Andre F.,</w:t>
      </w:r>
      <w:r w:rsidRPr="00240534">
        <w:rPr>
          <w:rFonts w:ascii="Calibri" w:hAnsi="Calibri" w:cs="Calibri"/>
        </w:rPr>
        <w:t xml:space="preserve"> </w:t>
      </w:r>
      <w:r w:rsidR="0086061B" w:rsidRPr="00240534">
        <w:rPr>
          <w:rFonts w:ascii="Calibri" w:hAnsi="Calibri" w:cs="Calibri"/>
        </w:rPr>
        <w:t>&amp;</w:t>
      </w:r>
      <w:r w:rsidRPr="00240534">
        <w:rPr>
          <w:rFonts w:ascii="Calibri" w:hAnsi="Calibri" w:cs="Calibri"/>
        </w:rPr>
        <w:t xml:space="preserve"> </w:t>
      </w:r>
      <w:proofErr w:type="spellStart"/>
      <w:r w:rsidRPr="00240534">
        <w:rPr>
          <w:rFonts w:ascii="Calibri" w:hAnsi="Calibri" w:cs="Calibri"/>
        </w:rPr>
        <w:t>Thonemann</w:t>
      </w:r>
      <w:proofErr w:type="spellEnd"/>
      <w:r w:rsidRPr="00240534">
        <w:rPr>
          <w:rFonts w:ascii="Calibri" w:hAnsi="Calibri" w:cs="Calibri"/>
        </w:rPr>
        <w:t>, U. W. (2010)</w:t>
      </w:r>
      <w:r w:rsidR="0086061B" w:rsidRPr="00240534">
        <w:rPr>
          <w:rFonts w:ascii="Calibri" w:hAnsi="Calibri" w:cs="Calibri"/>
        </w:rPr>
        <w:t>,</w:t>
      </w:r>
      <w:r w:rsidRPr="00240534">
        <w:rPr>
          <w:rFonts w:ascii="Calibri" w:hAnsi="Calibri" w:cs="Calibri"/>
        </w:rPr>
        <w:t xml:space="preserve"> </w:t>
      </w:r>
      <w:r w:rsidR="0086061B" w:rsidRPr="00240534">
        <w:rPr>
          <w:rFonts w:ascii="Calibri" w:hAnsi="Calibri" w:cs="Calibri"/>
        </w:rPr>
        <w:t>‘</w:t>
      </w:r>
      <w:r w:rsidRPr="00240534">
        <w:rPr>
          <w:rFonts w:ascii="Calibri" w:hAnsi="Calibri" w:cs="Calibri"/>
        </w:rPr>
        <w:t xml:space="preserve">Supply </w:t>
      </w:r>
      <w:r w:rsidR="003331C1" w:rsidRPr="00240534">
        <w:rPr>
          <w:rFonts w:ascii="Calibri" w:hAnsi="Calibri" w:cs="Calibri"/>
        </w:rPr>
        <w:t xml:space="preserve">Chain Design Considering Economies </w:t>
      </w:r>
      <w:r w:rsidRPr="00240534">
        <w:rPr>
          <w:rFonts w:ascii="Calibri" w:hAnsi="Calibri" w:cs="Calibri"/>
        </w:rPr>
        <w:t xml:space="preserve">of </w:t>
      </w:r>
      <w:r w:rsidR="003331C1" w:rsidRPr="00240534">
        <w:rPr>
          <w:rFonts w:ascii="Calibri" w:hAnsi="Calibri" w:cs="Calibri"/>
        </w:rPr>
        <w:t xml:space="preserve">Scale </w:t>
      </w:r>
      <w:r w:rsidRPr="00240534">
        <w:rPr>
          <w:rFonts w:ascii="Calibri" w:hAnsi="Calibri" w:cs="Calibri"/>
        </w:rPr>
        <w:t xml:space="preserve">and </w:t>
      </w:r>
      <w:r w:rsidR="003331C1" w:rsidRPr="00240534">
        <w:rPr>
          <w:rFonts w:ascii="Calibri" w:hAnsi="Calibri" w:cs="Calibri"/>
        </w:rPr>
        <w:t>Transport Frequencies’</w:t>
      </w:r>
      <w:r w:rsidRPr="00240534">
        <w:rPr>
          <w:rFonts w:ascii="Calibri" w:hAnsi="Calibri" w:cs="Calibri"/>
        </w:rPr>
        <w:t xml:space="preserve">. </w:t>
      </w:r>
      <w:r w:rsidR="007521C9" w:rsidRPr="00240534">
        <w:rPr>
          <w:rFonts w:ascii="Calibri" w:hAnsi="Calibri" w:cs="Calibri"/>
          <w:i/>
        </w:rPr>
        <w:t>EJOR</w:t>
      </w:r>
      <w:r w:rsidR="00103C70" w:rsidRPr="00240534">
        <w:rPr>
          <w:rFonts w:ascii="Calibri" w:hAnsi="Calibri" w:cs="Calibri"/>
        </w:rPr>
        <w:t>, Vol 218</w:t>
      </w:r>
      <w:r w:rsidR="00D81968" w:rsidRPr="00240534">
        <w:rPr>
          <w:rFonts w:ascii="Calibri" w:hAnsi="Calibri" w:cs="Calibri"/>
        </w:rPr>
        <w:t xml:space="preserve"> </w:t>
      </w:r>
      <w:r w:rsidR="00103C70" w:rsidRPr="00240534">
        <w:rPr>
          <w:rFonts w:ascii="Calibri" w:hAnsi="Calibri" w:cs="Calibri"/>
        </w:rPr>
        <w:t>(3)</w:t>
      </w:r>
      <w:r w:rsidR="007521C9" w:rsidRPr="00240534">
        <w:rPr>
          <w:rFonts w:ascii="Calibri" w:hAnsi="Calibri" w:cs="Calibri"/>
        </w:rPr>
        <w:t>, pp</w:t>
      </w:r>
      <w:r w:rsidR="00D81968" w:rsidRPr="00240534">
        <w:rPr>
          <w:rFonts w:ascii="Calibri" w:hAnsi="Calibri" w:cs="Calibri"/>
        </w:rPr>
        <w:t>.</w:t>
      </w:r>
      <w:r w:rsidR="007521C9" w:rsidRPr="00240534">
        <w:rPr>
          <w:rFonts w:ascii="Calibri" w:hAnsi="Calibri" w:cs="Calibri"/>
        </w:rPr>
        <w:t>789-800</w:t>
      </w:r>
      <w:r w:rsidRPr="00240534">
        <w:rPr>
          <w:rFonts w:ascii="Calibri" w:hAnsi="Calibri" w:cs="Calibri"/>
        </w:rPr>
        <w:t>.</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 xml:space="preserve">Chopra, S. and </w:t>
      </w:r>
      <w:proofErr w:type="spellStart"/>
      <w:r w:rsidRPr="00240534">
        <w:rPr>
          <w:rFonts w:ascii="Calibri" w:hAnsi="Calibri" w:cs="Calibri"/>
        </w:rPr>
        <w:t>Sodhi</w:t>
      </w:r>
      <w:proofErr w:type="spellEnd"/>
      <w:r w:rsidRPr="00240534">
        <w:rPr>
          <w:rFonts w:ascii="Calibri" w:hAnsi="Calibri" w:cs="Calibri"/>
        </w:rPr>
        <w:t>, M. S. (2004)</w:t>
      </w:r>
      <w:r w:rsidR="00D81968" w:rsidRPr="00240534">
        <w:rPr>
          <w:rFonts w:ascii="Calibri" w:hAnsi="Calibri" w:cs="Calibri"/>
        </w:rPr>
        <w:t>,</w:t>
      </w:r>
      <w:r w:rsidRPr="00240534">
        <w:rPr>
          <w:rFonts w:ascii="Calibri" w:hAnsi="Calibri" w:cs="Calibri"/>
        </w:rPr>
        <w:t xml:space="preserve"> </w:t>
      </w:r>
      <w:r w:rsidR="00D81968" w:rsidRPr="00240534">
        <w:rPr>
          <w:rFonts w:ascii="Calibri" w:hAnsi="Calibri" w:cs="Calibri"/>
        </w:rPr>
        <w:t>‘</w:t>
      </w:r>
      <w:r w:rsidRPr="00240534">
        <w:rPr>
          <w:rFonts w:ascii="Calibri" w:hAnsi="Calibri" w:cs="Calibri"/>
        </w:rPr>
        <w:t>Managing Risk to Avoid Supply-Chain Breakdown</w:t>
      </w:r>
      <w:r w:rsidR="00D81968" w:rsidRPr="00240534">
        <w:rPr>
          <w:rFonts w:ascii="Calibri" w:hAnsi="Calibri" w:cs="Calibri"/>
        </w:rPr>
        <w:t>’</w:t>
      </w:r>
      <w:proofErr w:type="gramStart"/>
      <w:r w:rsidR="00D81968" w:rsidRPr="00240534">
        <w:rPr>
          <w:rFonts w:ascii="Calibri" w:hAnsi="Calibri" w:cs="Calibri"/>
        </w:rPr>
        <w:t>,</w:t>
      </w:r>
      <w:r w:rsidRPr="00240534">
        <w:rPr>
          <w:rFonts w:ascii="Calibri" w:hAnsi="Calibri" w:cs="Calibri"/>
        </w:rPr>
        <w:t xml:space="preserve">  </w:t>
      </w:r>
      <w:r w:rsidRPr="00240534">
        <w:rPr>
          <w:rFonts w:ascii="Calibri" w:hAnsi="Calibri" w:cs="Calibri"/>
          <w:i/>
        </w:rPr>
        <w:t>MIT</w:t>
      </w:r>
      <w:proofErr w:type="gramEnd"/>
      <w:r w:rsidRPr="00240534">
        <w:rPr>
          <w:rFonts w:ascii="Calibri" w:hAnsi="Calibri" w:cs="Calibri"/>
          <w:i/>
        </w:rPr>
        <w:t xml:space="preserve"> Sloan Management Review</w:t>
      </w:r>
      <w:r w:rsidR="00D81968" w:rsidRPr="00240534">
        <w:rPr>
          <w:rFonts w:ascii="Calibri" w:hAnsi="Calibri" w:cs="Calibri"/>
        </w:rPr>
        <w:t>,</w:t>
      </w:r>
      <w:r w:rsidRPr="00240534">
        <w:rPr>
          <w:rFonts w:ascii="Calibri" w:hAnsi="Calibri" w:cs="Calibri"/>
        </w:rPr>
        <w:t xml:space="preserve"> 46 (1)</w:t>
      </w:r>
      <w:r w:rsidR="00D81968" w:rsidRPr="00240534">
        <w:rPr>
          <w:rFonts w:ascii="Calibri" w:hAnsi="Calibri" w:cs="Calibri"/>
        </w:rPr>
        <w:t>,</w:t>
      </w:r>
      <w:r w:rsidRPr="00240534">
        <w:rPr>
          <w:rFonts w:ascii="Calibri" w:hAnsi="Calibri" w:cs="Calibri"/>
        </w:rPr>
        <w:t xml:space="preserve"> pp</w:t>
      </w:r>
      <w:r w:rsidR="00D81968" w:rsidRPr="00240534">
        <w:rPr>
          <w:rFonts w:ascii="Calibri" w:hAnsi="Calibri" w:cs="Calibri"/>
        </w:rPr>
        <w:t>.</w:t>
      </w:r>
      <w:r w:rsidRPr="00240534">
        <w:rPr>
          <w:rFonts w:ascii="Calibri" w:hAnsi="Calibri" w:cs="Calibri"/>
        </w:rPr>
        <w:t xml:space="preserve"> 53-62</w:t>
      </w:r>
      <w:r w:rsidR="00D81968" w:rsidRPr="00240534">
        <w:rPr>
          <w:rFonts w:ascii="Calibri" w:hAnsi="Calibri" w:cs="Calibri"/>
        </w:rPr>
        <w:t>.</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proofErr w:type="spellStart"/>
      <w:r w:rsidRPr="00240534">
        <w:rPr>
          <w:rFonts w:ascii="Calibri" w:hAnsi="Calibri" w:cs="Calibri"/>
        </w:rPr>
        <w:t>Craighead</w:t>
      </w:r>
      <w:proofErr w:type="spellEnd"/>
      <w:r w:rsidRPr="00240534">
        <w:rPr>
          <w:rFonts w:ascii="Calibri" w:hAnsi="Calibri" w:cs="Calibri"/>
        </w:rPr>
        <w:t xml:space="preserve">, C. W., </w:t>
      </w:r>
      <w:proofErr w:type="spellStart"/>
      <w:r w:rsidRPr="00240534">
        <w:rPr>
          <w:rFonts w:ascii="Calibri" w:hAnsi="Calibri" w:cs="Calibri"/>
        </w:rPr>
        <w:t>Blackhurst</w:t>
      </w:r>
      <w:proofErr w:type="spellEnd"/>
      <w:r w:rsidRPr="00240534">
        <w:rPr>
          <w:rFonts w:ascii="Calibri" w:hAnsi="Calibri" w:cs="Calibri"/>
        </w:rPr>
        <w:t xml:space="preserve">, J., </w:t>
      </w:r>
      <w:proofErr w:type="spellStart"/>
      <w:r w:rsidRPr="00240534">
        <w:rPr>
          <w:rFonts w:ascii="Calibri" w:hAnsi="Calibri" w:cs="Calibri"/>
        </w:rPr>
        <w:t>Rungtusanatham</w:t>
      </w:r>
      <w:proofErr w:type="spellEnd"/>
      <w:r w:rsidRPr="00240534">
        <w:rPr>
          <w:rFonts w:ascii="Calibri" w:hAnsi="Calibri" w:cs="Calibri"/>
        </w:rPr>
        <w:t>, M. J. and Handﬁeld, R.B. (2007)</w:t>
      </w:r>
      <w:r w:rsidR="00D81968" w:rsidRPr="00240534">
        <w:rPr>
          <w:rFonts w:ascii="Calibri" w:hAnsi="Calibri" w:cs="Calibri"/>
        </w:rPr>
        <w:t>,</w:t>
      </w:r>
      <w:r w:rsidRPr="00240534">
        <w:rPr>
          <w:rFonts w:ascii="Calibri" w:hAnsi="Calibri" w:cs="Calibri"/>
        </w:rPr>
        <w:t xml:space="preserve"> </w:t>
      </w:r>
      <w:r w:rsidR="00D81968" w:rsidRPr="00240534">
        <w:rPr>
          <w:rFonts w:ascii="Calibri" w:hAnsi="Calibri" w:cs="Calibri"/>
        </w:rPr>
        <w:t>‘</w:t>
      </w:r>
      <w:proofErr w:type="gramStart"/>
      <w:r w:rsidRPr="00240534">
        <w:rPr>
          <w:rFonts w:ascii="Calibri" w:hAnsi="Calibri" w:cs="Calibri"/>
        </w:rPr>
        <w:t>The</w:t>
      </w:r>
      <w:proofErr w:type="gramEnd"/>
      <w:r w:rsidRPr="00240534">
        <w:rPr>
          <w:rFonts w:ascii="Calibri" w:hAnsi="Calibri" w:cs="Calibri"/>
        </w:rPr>
        <w:t xml:space="preserve"> Severity of Supply Chain Disruptions: Design Characteristics and Mitigation Capabilities</w:t>
      </w:r>
      <w:r w:rsidR="00D81968" w:rsidRPr="00240534">
        <w:rPr>
          <w:rFonts w:ascii="Calibri" w:hAnsi="Calibri" w:cs="Calibri"/>
        </w:rPr>
        <w:t>’,</w:t>
      </w:r>
      <w:r w:rsidRPr="00240534">
        <w:rPr>
          <w:rFonts w:ascii="Calibri" w:hAnsi="Calibri" w:cs="Calibri"/>
        </w:rPr>
        <w:t xml:space="preserve"> </w:t>
      </w:r>
      <w:r w:rsidRPr="00240534">
        <w:rPr>
          <w:rFonts w:ascii="Calibri" w:hAnsi="Calibri" w:cs="Calibri"/>
          <w:i/>
        </w:rPr>
        <w:t>Decision Sciences</w:t>
      </w:r>
      <w:r w:rsidR="00D81968" w:rsidRPr="00240534">
        <w:rPr>
          <w:rFonts w:ascii="Calibri" w:hAnsi="Calibri" w:cs="Calibri"/>
        </w:rPr>
        <w:t>,</w:t>
      </w:r>
      <w:r w:rsidRPr="00240534">
        <w:rPr>
          <w:rFonts w:ascii="Calibri" w:hAnsi="Calibri" w:cs="Calibri"/>
        </w:rPr>
        <w:t xml:space="preserve"> 38 (1)</w:t>
      </w:r>
      <w:r w:rsidR="00D81968" w:rsidRPr="00240534">
        <w:rPr>
          <w:rFonts w:ascii="Calibri" w:hAnsi="Calibri" w:cs="Calibri"/>
        </w:rPr>
        <w:t>,</w:t>
      </w:r>
      <w:r w:rsidRPr="00240534">
        <w:rPr>
          <w:rFonts w:ascii="Calibri" w:hAnsi="Calibri" w:cs="Calibri"/>
        </w:rPr>
        <w:t xml:space="preserve"> pp. 131</w:t>
      </w:r>
      <w:r w:rsidR="00BD41D6" w:rsidRPr="00240534">
        <w:rPr>
          <w:rFonts w:ascii="Calibri" w:hAnsi="Calibri" w:cs="Calibri"/>
        </w:rPr>
        <w:t>-</w:t>
      </w:r>
      <w:r w:rsidRPr="00240534">
        <w:rPr>
          <w:rFonts w:ascii="Calibri" w:hAnsi="Calibri" w:cs="Calibri"/>
        </w:rPr>
        <w:t>156</w:t>
      </w:r>
      <w:r w:rsidR="00D81968" w:rsidRPr="00240534">
        <w:rPr>
          <w:rFonts w:ascii="Calibri" w:hAnsi="Calibri" w:cs="Calibri"/>
        </w:rPr>
        <w:t>.</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 xml:space="preserve">Dugan, J. B., </w:t>
      </w:r>
      <w:proofErr w:type="spellStart"/>
      <w:r w:rsidRPr="00240534">
        <w:rPr>
          <w:rFonts w:ascii="Calibri" w:hAnsi="Calibri" w:cs="Calibri"/>
        </w:rPr>
        <w:t>Bavuso</w:t>
      </w:r>
      <w:proofErr w:type="spellEnd"/>
      <w:r w:rsidRPr="00240534">
        <w:rPr>
          <w:rFonts w:ascii="Calibri" w:hAnsi="Calibri" w:cs="Calibri"/>
        </w:rPr>
        <w:t xml:space="preserve">, S. J., &amp; Boyd, M. </w:t>
      </w:r>
      <w:r w:rsidR="000660CE" w:rsidRPr="00240534">
        <w:rPr>
          <w:rFonts w:ascii="Calibri" w:hAnsi="Calibri" w:cs="Calibri"/>
        </w:rPr>
        <w:t>A</w:t>
      </w:r>
      <w:r w:rsidRPr="00240534">
        <w:rPr>
          <w:rFonts w:ascii="Calibri" w:hAnsi="Calibri" w:cs="Calibri"/>
        </w:rPr>
        <w:t>. (1992)</w:t>
      </w:r>
      <w:r w:rsidR="000660CE" w:rsidRPr="00240534">
        <w:rPr>
          <w:rFonts w:ascii="Calibri" w:hAnsi="Calibri" w:cs="Calibri"/>
        </w:rPr>
        <w:t>,</w:t>
      </w:r>
      <w:r w:rsidRPr="00240534">
        <w:rPr>
          <w:rFonts w:ascii="Calibri" w:hAnsi="Calibri" w:cs="Calibri"/>
        </w:rPr>
        <w:t xml:space="preserve"> </w:t>
      </w:r>
      <w:r w:rsidR="000660CE" w:rsidRPr="00240534">
        <w:rPr>
          <w:rFonts w:ascii="Calibri" w:hAnsi="Calibri" w:cs="Calibri"/>
        </w:rPr>
        <w:t>‘</w:t>
      </w:r>
      <w:r w:rsidRPr="00240534">
        <w:rPr>
          <w:rFonts w:ascii="Calibri" w:hAnsi="Calibri" w:cs="Calibri"/>
        </w:rPr>
        <w:t>Dynamic Fault-Tree Models for Fault-Tolerant Computer Systems</w:t>
      </w:r>
      <w:r w:rsidR="000660CE" w:rsidRPr="00240534">
        <w:rPr>
          <w:rFonts w:ascii="Calibri" w:hAnsi="Calibri" w:cs="Calibri"/>
        </w:rPr>
        <w:t>’,</w:t>
      </w:r>
      <w:r w:rsidRPr="00240534">
        <w:rPr>
          <w:rFonts w:ascii="Calibri" w:hAnsi="Calibri" w:cs="Calibri"/>
        </w:rPr>
        <w:t xml:space="preserve"> </w:t>
      </w:r>
      <w:r w:rsidRPr="00240534">
        <w:rPr>
          <w:rFonts w:ascii="Calibri" w:hAnsi="Calibri" w:cs="Calibri"/>
          <w:i/>
        </w:rPr>
        <w:t xml:space="preserve">IEEE Transactions </w:t>
      </w:r>
      <w:r w:rsidR="00AB7294" w:rsidRPr="00240534">
        <w:rPr>
          <w:rFonts w:ascii="Calibri" w:hAnsi="Calibri" w:cs="Calibri"/>
          <w:i/>
        </w:rPr>
        <w:t>on Reliability</w:t>
      </w:r>
      <w:r w:rsidR="00AB7294" w:rsidRPr="00240534">
        <w:rPr>
          <w:rFonts w:ascii="Calibri" w:hAnsi="Calibri" w:cs="Calibri"/>
        </w:rPr>
        <w:t xml:space="preserve">, 41(3), </w:t>
      </w:r>
      <w:r w:rsidR="000660CE" w:rsidRPr="00240534">
        <w:rPr>
          <w:rFonts w:ascii="Calibri" w:hAnsi="Calibri" w:cs="Calibri"/>
        </w:rPr>
        <w:t>pp.</w:t>
      </w:r>
      <w:r w:rsidR="00AB7294" w:rsidRPr="00240534">
        <w:rPr>
          <w:rFonts w:ascii="Calibri" w:hAnsi="Calibri" w:cs="Calibri"/>
        </w:rPr>
        <w:t>363</w:t>
      </w:r>
      <w:r w:rsidR="00BD41D6" w:rsidRPr="00240534">
        <w:rPr>
          <w:rFonts w:ascii="Calibri" w:hAnsi="Calibri" w:cs="Calibri"/>
        </w:rPr>
        <w:t>-</w:t>
      </w:r>
      <w:r w:rsidR="00AB7294" w:rsidRPr="00240534">
        <w:rPr>
          <w:rFonts w:ascii="Calibri" w:hAnsi="Calibri" w:cs="Calibri"/>
        </w:rPr>
        <w:t>377.</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Edifor, E. E. (2014)</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rPr>
        <w:t>‘</w:t>
      </w:r>
      <w:r w:rsidRPr="00240534">
        <w:rPr>
          <w:rFonts w:ascii="Calibri" w:hAnsi="Calibri" w:cs="Calibri"/>
        </w:rPr>
        <w:t>Quantitative Analysis of Dynamic Safety-Critical Systems Using Temporal Fault Trees</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i/>
        </w:rPr>
        <w:t>PhD Thesis</w:t>
      </w:r>
      <w:r w:rsidR="00BD41D6" w:rsidRPr="00240534">
        <w:rPr>
          <w:rFonts w:ascii="Calibri" w:hAnsi="Calibri" w:cs="Calibri"/>
        </w:rPr>
        <w:t>, University of Hull.</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Edifor, E., Walker, M., &amp; Gordon, N. (2013)</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rPr>
        <w:t>‘</w:t>
      </w:r>
      <w:r w:rsidRPr="00240534">
        <w:rPr>
          <w:rFonts w:ascii="Calibri" w:hAnsi="Calibri" w:cs="Calibri"/>
        </w:rPr>
        <w:t xml:space="preserve">Quantification of </w:t>
      </w:r>
      <w:r w:rsidR="003331C1" w:rsidRPr="00240534">
        <w:rPr>
          <w:rFonts w:ascii="Calibri" w:hAnsi="Calibri" w:cs="Calibri"/>
        </w:rPr>
        <w:t>Simultaneous</w:t>
      </w:r>
      <w:r w:rsidRPr="00240534">
        <w:rPr>
          <w:rFonts w:ascii="Calibri" w:hAnsi="Calibri" w:cs="Calibri"/>
        </w:rPr>
        <w:t xml:space="preserve">-AND </w:t>
      </w:r>
      <w:r w:rsidR="003331C1" w:rsidRPr="00240534">
        <w:rPr>
          <w:rFonts w:ascii="Calibri" w:hAnsi="Calibri" w:cs="Calibri"/>
        </w:rPr>
        <w:t xml:space="preserve">Gates </w:t>
      </w:r>
      <w:r w:rsidRPr="00240534">
        <w:rPr>
          <w:rFonts w:ascii="Calibri" w:hAnsi="Calibri" w:cs="Calibri"/>
        </w:rPr>
        <w:t xml:space="preserve">in </w:t>
      </w:r>
      <w:r w:rsidR="003331C1" w:rsidRPr="00240534">
        <w:rPr>
          <w:rFonts w:ascii="Calibri" w:hAnsi="Calibri" w:cs="Calibri"/>
        </w:rPr>
        <w:t xml:space="preserve">Temporal </w:t>
      </w:r>
      <w:r w:rsidRPr="00240534">
        <w:rPr>
          <w:rFonts w:ascii="Calibri" w:hAnsi="Calibri" w:cs="Calibri"/>
        </w:rPr>
        <w:t>Fault Trees</w:t>
      </w:r>
      <w:r w:rsidR="00BD41D6" w:rsidRPr="00240534">
        <w:rPr>
          <w:rFonts w:ascii="Calibri" w:hAnsi="Calibri" w:cs="Calibri"/>
        </w:rPr>
        <w:t>’,</w:t>
      </w:r>
      <w:r w:rsidRPr="00240534">
        <w:rPr>
          <w:rFonts w:ascii="Calibri" w:hAnsi="Calibri" w:cs="Calibri"/>
        </w:rPr>
        <w:t xml:space="preserve"> </w:t>
      </w:r>
      <w:r w:rsidRPr="00240534">
        <w:rPr>
          <w:rFonts w:ascii="Calibri" w:hAnsi="Calibri" w:cs="Calibri"/>
          <w:i/>
        </w:rPr>
        <w:t>Advances in Intelligent Sy</w:t>
      </w:r>
      <w:r w:rsidR="00AB7294" w:rsidRPr="00240534">
        <w:rPr>
          <w:rFonts w:ascii="Calibri" w:hAnsi="Calibri" w:cs="Calibri"/>
          <w:i/>
        </w:rPr>
        <w:t>stems and Computing</w:t>
      </w:r>
      <w:r w:rsidR="00BD41D6" w:rsidRPr="00240534">
        <w:rPr>
          <w:rFonts w:ascii="Calibri" w:hAnsi="Calibri" w:cs="Calibri"/>
        </w:rPr>
        <w:t>, Vol 224.</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Gulati, R., &amp; Dugan, J. (1997)</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rPr>
        <w:t>‘</w:t>
      </w:r>
      <w:r w:rsidRPr="00240534">
        <w:rPr>
          <w:rFonts w:ascii="Calibri" w:hAnsi="Calibri" w:cs="Calibri"/>
        </w:rPr>
        <w:t xml:space="preserve">A Modular Approach for </w:t>
      </w:r>
      <w:proofErr w:type="spellStart"/>
      <w:r w:rsidRPr="00240534">
        <w:rPr>
          <w:rFonts w:ascii="Calibri" w:hAnsi="Calibri" w:cs="Calibri"/>
        </w:rPr>
        <w:t>Analyzing</w:t>
      </w:r>
      <w:proofErr w:type="spellEnd"/>
      <w:r w:rsidRPr="00240534">
        <w:rPr>
          <w:rFonts w:ascii="Calibri" w:hAnsi="Calibri" w:cs="Calibri"/>
        </w:rPr>
        <w:t xml:space="preserve"> Static and Dynamic Fault Trees</w:t>
      </w:r>
      <w:r w:rsidR="00BD41D6" w:rsidRPr="00240534">
        <w:rPr>
          <w:rFonts w:ascii="Calibri" w:hAnsi="Calibri" w:cs="Calibri"/>
        </w:rPr>
        <w:t>’,</w:t>
      </w:r>
      <w:r w:rsidRPr="00240534">
        <w:rPr>
          <w:rFonts w:ascii="Calibri" w:hAnsi="Calibri" w:cs="Calibri"/>
        </w:rPr>
        <w:t xml:space="preserve"> </w:t>
      </w:r>
      <w:r w:rsidRPr="00240534">
        <w:rPr>
          <w:rFonts w:ascii="Calibri" w:hAnsi="Calibri" w:cs="Calibri"/>
          <w:i/>
        </w:rPr>
        <w:t>In Reliability and Maintainability Symposium</w:t>
      </w:r>
      <w:r w:rsidR="00BD41D6" w:rsidRPr="00240534">
        <w:rPr>
          <w:rFonts w:ascii="Calibri" w:hAnsi="Calibri" w:cs="Calibri"/>
        </w:rPr>
        <w:t xml:space="preserve">, </w:t>
      </w:r>
      <w:r w:rsidRPr="00240534">
        <w:rPr>
          <w:rFonts w:ascii="Calibri" w:hAnsi="Calibri" w:cs="Calibri"/>
        </w:rPr>
        <w:t>pp.</w:t>
      </w:r>
      <w:r w:rsidR="00BD41D6" w:rsidRPr="00240534">
        <w:rPr>
          <w:rFonts w:ascii="Calibri" w:hAnsi="Calibri" w:cs="Calibri"/>
        </w:rPr>
        <w:t xml:space="preserve"> 57-63</w:t>
      </w:r>
      <w:r w:rsidR="00152D08" w:rsidRPr="00240534">
        <w:rPr>
          <w:rFonts w:ascii="Calibri" w:hAnsi="Calibri" w:cs="Calibri"/>
        </w:rPr>
        <w:t>.</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Henley, E. J., &amp; Kumamoto, H. (1981)</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rPr>
        <w:t>‘</w:t>
      </w:r>
      <w:r w:rsidRPr="00240534">
        <w:rPr>
          <w:rFonts w:ascii="Calibri" w:hAnsi="Calibri" w:cs="Calibri"/>
        </w:rPr>
        <w:t>Reliability Engineering and Risk Assessment</w:t>
      </w:r>
      <w:r w:rsidR="00BD41D6" w:rsidRPr="00240534">
        <w:rPr>
          <w:rFonts w:ascii="Calibri" w:hAnsi="Calibri" w:cs="Calibri"/>
        </w:rPr>
        <w:t>’,</w:t>
      </w:r>
      <w:r w:rsidRPr="00240534">
        <w:rPr>
          <w:rFonts w:ascii="Calibri" w:hAnsi="Calibri" w:cs="Calibri"/>
        </w:rPr>
        <w:t xml:space="preserve"> Prince-Hall, </w:t>
      </w:r>
      <w:proofErr w:type="spellStart"/>
      <w:r w:rsidRPr="00240534">
        <w:rPr>
          <w:rFonts w:ascii="Calibri" w:hAnsi="Calibri" w:cs="Calibri"/>
        </w:rPr>
        <w:t>Inc</w:t>
      </w:r>
      <w:proofErr w:type="spellEnd"/>
      <w:r w:rsidRPr="00240534">
        <w:rPr>
          <w:rFonts w:ascii="Calibri" w:hAnsi="Calibri" w:cs="Calibri"/>
        </w:rPr>
        <w:t>, New Jersey.</w:t>
      </w:r>
    </w:p>
    <w:p w:rsidR="00304A32" w:rsidRPr="00240534" w:rsidRDefault="00304A32"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lastRenderedPageBreak/>
        <w:t xml:space="preserve">Machado, V. H., </w:t>
      </w:r>
      <w:proofErr w:type="spellStart"/>
      <w:r w:rsidRPr="00240534">
        <w:rPr>
          <w:rFonts w:ascii="Calibri" w:hAnsi="Calibri" w:cs="Calibri"/>
        </w:rPr>
        <w:t>Azevedo</w:t>
      </w:r>
      <w:proofErr w:type="spellEnd"/>
      <w:r w:rsidRPr="00240534">
        <w:rPr>
          <w:rFonts w:ascii="Calibri" w:hAnsi="Calibri" w:cs="Calibri"/>
        </w:rPr>
        <w:t xml:space="preserve">, S. G., Barroso, A. P., </w:t>
      </w:r>
      <w:proofErr w:type="spellStart"/>
      <w:r w:rsidRPr="00240534">
        <w:rPr>
          <w:rFonts w:ascii="Calibri" w:hAnsi="Calibri" w:cs="Calibri"/>
        </w:rPr>
        <w:t>Tenera</w:t>
      </w:r>
      <w:proofErr w:type="spellEnd"/>
      <w:r w:rsidRPr="00240534">
        <w:rPr>
          <w:rFonts w:ascii="Calibri" w:hAnsi="Calibri" w:cs="Calibri"/>
        </w:rPr>
        <w:t>, A. and Machado, C. M. (2009)</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rPr>
        <w:t>‘</w:t>
      </w:r>
      <w:r w:rsidRPr="00240534">
        <w:rPr>
          <w:rFonts w:ascii="Calibri" w:hAnsi="Calibri" w:cs="Calibri"/>
        </w:rPr>
        <w:t xml:space="preserve">Strategies to </w:t>
      </w:r>
      <w:r w:rsidR="003331C1" w:rsidRPr="00240534">
        <w:rPr>
          <w:rFonts w:ascii="Calibri" w:hAnsi="Calibri" w:cs="Calibri"/>
        </w:rPr>
        <w:t>Mitigate Supply Chain Disturbances’</w:t>
      </w:r>
      <w:r w:rsidR="00BD41D6" w:rsidRPr="00240534">
        <w:rPr>
          <w:rFonts w:ascii="Calibri" w:hAnsi="Calibri" w:cs="Calibri"/>
        </w:rPr>
        <w:t>,</w:t>
      </w:r>
      <w:r w:rsidRPr="00240534">
        <w:rPr>
          <w:rFonts w:ascii="Calibri" w:hAnsi="Calibri" w:cs="Calibri"/>
        </w:rPr>
        <w:t xml:space="preserve"> </w:t>
      </w:r>
      <w:r w:rsidRPr="00240534">
        <w:rPr>
          <w:rFonts w:ascii="Calibri" w:hAnsi="Calibri" w:cs="Calibri"/>
          <w:i/>
        </w:rPr>
        <w:t>In Proceedings of POMS2009</w:t>
      </w:r>
      <w:r w:rsidRPr="00240534">
        <w:rPr>
          <w:rFonts w:ascii="Calibri" w:hAnsi="Calibri" w:cs="Calibri"/>
        </w:rPr>
        <w:t>, 20th annual conference of production and operations management society: Orlando</w:t>
      </w:r>
      <w:r w:rsidR="00BD41D6" w:rsidRPr="00240534">
        <w:rPr>
          <w:rFonts w:ascii="Calibri" w:hAnsi="Calibri" w:cs="Calibri"/>
        </w:rPr>
        <w:t>.</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proofErr w:type="spellStart"/>
      <w:r w:rsidRPr="00240534">
        <w:rPr>
          <w:rFonts w:ascii="Calibri" w:hAnsi="Calibri" w:cs="Calibri"/>
        </w:rPr>
        <w:t>Manuj</w:t>
      </w:r>
      <w:proofErr w:type="spellEnd"/>
      <w:r w:rsidRPr="00240534">
        <w:rPr>
          <w:rFonts w:ascii="Calibri" w:hAnsi="Calibri" w:cs="Calibri"/>
        </w:rPr>
        <w:t xml:space="preserve"> I, &amp; </w:t>
      </w:r>
      <w:proofErr w:type="spellStart"/>
      <w:r w:rsidRPr="00240534">
        <w:rPr>
          <w:rFonts w:ascii="Calibri" w:hAnsi="Calibri" w:cs="Calibri"/>
        </w:rPr>
        <w:t>Mentzer</w:t>
      </w:r>
      <w:proofErr w:type="gramStart"/>
      <w:r w:rsidRPr="00240534">
        <w:rPr>
          <w:rFonts w:ascii="Calibri" w:hAnsi="Calibri" w:cs="Calibri"/>
        </w:rPr>
        <w:t>,J.T</w:t>
      </w:r>
      <w:proofErr w:type="spellEnd"/>
      <w:proofErr w:type="gramEnd"/>
      <w:r w:rsidRPr="00240534">
        <w:rPr>
          <w:rFonts w:ascii="Calibri" w:hAnsi="Calibri" w:cs="Calibri"/>
        </w:rPr>
        <w:t xml:space="preserve"> (2008)</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rPr>
        <w:t>‘</w:t>
      </w:r>
      <w:r w:rsidRPr="00240534">
        <w:rPr>
          <w:rFonts w:ascii="Calibri" w:hAnsi="Calibri" w:cs="Calibri"/>
        </w:rPr>
        <w:t xml:space="preserve">Global </w:t>
      </w:r>
      <w:r w:rsidR="003331C1" w:rsidRPr="00240534">
        <w:rPr>
          <w:rFonts w:ascii="Calibri" w:hAnsi="Calibri" w:cs="Calibri"/>
        </w:rPr>
        <w:t>Supply Chain Risk Management Strategies’</w:t>
      </w:r>
      <w:r w:rsidRPr="00240534">
        <w:rPr>
          <w:rFonts w:ascii="Calibri" w:hAnsi="Calibri" w:cs="Calibri"/>
        </w:rPr>
        <w:t xml:space="preserve">, </w:t>
      </w:r>
      <w:r w:rsidRPr="00240534">
        <w:rPr>
          <w:rFonts w:ascii="Calibri" w:hAnsi="Calibri" w:cs="Calibri"/>
          <w:i/>
        </w:rPr>
        <w:t>International Journal of Physical Distribution &amp; Logistics Management</w:t>
      </w:r>
      <w:r w:rsidRPr="00240534">
        <w:rPr>
          <w:rFonts w:ascii="Calibri" w:hAnsi="Calibri" w:cs="Calibri"/>
        </w:rPr>
        <w:t xml:space="preserve">, Vol. 38 </w:t>
      </w:r>
      <w:r w:rsidR="00BD41D6" w:rsidRPr="00240534">
        <w:rPr>
          <w:rFonts w:ascii="Calibri" w:hAnsi="Calibri" w:cs="Calibri"/>
        </w:rPr>
        <w:t>(</w:t>
      </w:r>
      <w:r w:rsidRPr="00240534">
        <w:rPr>
          <w:rFonts w:ascii="Calibri" w:hAnsi="Calibri" w:cs="Calibri"/>
        </w:rPr>
        <w:t>3</w:t>
      </w:r>
      <w:r w:rsidR="00BD41D6" w:rsidRPr="00240534">
        <w:rPr>
          <w:rFonts w:ascii="Calibri" w:hAnsi="Calibri" w:cs="Calibri"/>
        </w:rPr>
        <w:t>), pp.192-223.</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 xml:space="preserve">Merle, G., </w:t>
      </w:r>
      <w:proofErr w:type="spellStart"/>
      <w:r w:rsidRPr="00240534">
        <w:rPr>
          <w:rFonts w:ascii="Calibri" w:hAnsi="Calibri" w:cs="Calibri"/>
        </w:rPr>
        <w:t>Roussel</w:t>
      </w:r>
      <w:proofErr w:type="spellEnd"/>
      <w:r w:rsidRPr="00240534">
        <w:rPr>
          <w:rFonts w:ascii="Calibri" w:hAnsi="Calibri" w:cs="Calibri"/>
        </w:rPr>
        <w:t xml:space="preserve">, J., Lesage, J., &amp; </w:t>
      </w:r>
      <w:proofErr w:type="spellStart"/>
      <w:r w:rsidRPr="00240534">
        <w:rPr>
          <w:rFonts w:ascii="Calibri" w:hAnsi="Calibri" w:cs="Calibri"/>
        </w:rPr>
        <w:t>Bobbio</w:t>
      </w:r>
      <w:proofErr w:type="spellEnd"/>
      <w:r w:rsidRPr="00240534">
        <w:rPr>
          <w:rFonts w:ascii="Calibri" w:hAnsi="Calibri" w:cs="Calibri"/>
        </w:rPr>
        <w:t>, A. (2010)</w:t>
      </w:r>
      <w:r w:rsidR="00BD41D6" w:rsidRPr="00240534">
        <w:rPr>
          <w:rFonts w:ascii="Calibri" w:hAnsi="Calibri" w:cs="Calibri"/>
        </w:rPr>
        <w:t>,</w:t>
      </w:r>
      <w:r w:rsidRPr="00240534">
        <w:rPr>
          <w:rFonts w:ascii="Calibri" w:hAnsi="Calibri" w:cs="Calibri"/>
        </w:rPr>
        <w:t xml:space="preserve"> </w:t>
      </w:r>
      <w:r w:rsidR="00BD41D6" w:rsidRPr="00240534">
        <w:rPr>
          <w:rFonts w:ascii="Calibri" w:hAnsi="Calibri" w:cs="Calibri"/>
        </w:rPr>
        <w:t>‘</w:t>
      </w:r>
      <w:r w:rsidRPr="00240534">
        <w:rPr>
          <w:rFonts w:ascii="Calibri" w:hAnsi="Calibri" w:cs="Calibri"/>
        </w:rPr>
        <w:t>Probabilistic Algebraic Analysis of Fault Frees with Priority Dynamic Gates and Repeated Events</w:t>
      </w:r>
      <w:r w:rsidR="00BD41D6" w:rsidRPr="00240534">
        <w:rPr>
          <w:rFonts w:ascii="Calibri" w:hAnsi="Calibri" w:cs="Calibri"/>
        </w:rPr>
        <w:t>’,</w:t>
      </w:r>
      <w:r w:rsidRPr="00240534">
        <w:rPr>
          <w:rFonts w:ascii="Calibri" w:hAnsi="Calibri" w:cs="Calibri"/>
        </w:rPr>
        <w:t xml:space="preserve"> </w:t>
      </w:r>
      <w:r w:rsidRPr="00240534">
        <w:rPr>
          <w:rFonts w:ascii="Calibri" w:hAnsi="Calibri" w:cs="Calibri"/>
          <w:i/>
        </w:rPr>
        <w:t>IEEE Trans</w:t>
      </w:r>
      <w:r w:rsidR="00B26788" w:rsidRPr="00240534">
        <w:rPr>
          <w:rFonts w:ascii="Calibri" w:hAnsi="Calibri" w:cs="Calibri"/>
          <w:i/>
        </w:rPr>
        <w:t>action</w:t>
      </w:r>
      <w:r w:rsidRPr="00240534">
        <w:rPr>
          <w:rFonts w:ascii="Calibri" w:hAnsi="Calibri" w:cs="Calibri"/>
          <w:i/>
        </w:rPr>
        <w:t xml:space="preserve"> </w:t>
      </w:r>
      <w:r w:rsidR="00AB7294" w:rsidRPr="00240534">
        <w:rPr>
          <w:rFonts w:ascii="Calibri" w:hAnsi="Calibri" w:cs="Calibri"/>
          <w:i/>
        </w:rPr>
        <w:t>on Reliability</w:t>
      </w:r>
      <w:r w:rsidR="00AB7294" w:rsidRPr="00240534">
        <w:rPr>
          <w:rFonts w:ascii="Calibri" w:hAnsi="Calibri" w:cs="Calibri"/>
        </w:rPr>
        <w:t>, 59</w:t>
      </w:r>
      <w:r w:rsidR="00BD41D6" w:rsidRPr="00240534">
        <w:rPr>
          <w:rFonts w:ascii="Calibri" w:hAnsi="Calibri" w:cs="Calibri"/>
        </w:rPr>
        <w:t xml:space="preserve"> </w:t>
      </w:r>
      <w:r w:rsidR="00AB7294" w:rsidRPr="00240534">
        <w:rPr>
          <w:rFonts w:ascii="Calibri" w:hAnsi="Calibri" w:cs="Calibri"/>
        </w:rPr>
        <w:t xml:space="preserve">(1), </w:t>
      </w:r>
      <w:r w:rsidR="00BD41D6" w:rsidRPr="00240534">
        <w:rPr>
          <w:rFonts w:ascii="Calibri" w:hAnsi="Calibri" w:cs="Calibri"/>
        </w:rPr>
        <w:t>pp.</w:t>
      </w:r>
      <w:r w:rsidR="00AB7294" w:rsidRPr="00240534">
        <w:rPr>
          <w:rFonts w:ascii="Calibri" w:hAnsi="Calibri" w:cs="Calibri"/>
        </w:rPr>
        <w:t>250</w:t>
      </w:r>
      <w:r w:rsidR="00BD41D6" w:rsidRPr="00240534">
        <w:rPr>
          <w:rFonts w:ascii="Calibri" w:hAnsi="Calibri" w:cs="Calibri"/>
        </w:rPr>
        <w:t>-</w:t>
      </w:r>
      <w:r w:rsidR="00AB7294" w:rsidRPr="00240534">
        <w:rPr>
          <w:rFonts w:ascii="Calibri" w:hAnsi="Calibri" w:cs="Calibri"/>
        </w:rPr>
        <w:t>261.</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 xml:space="preserve">Pan, F. </w:t>
      </w:r>
      <w:r w:rsidR="00B26788" w:rsidRPr="00240534">
        <w:rPr>
          <w:rFonts w:ascii="Calibri" w:hAnsi="Calibri" w:cs="Calibri"/>
        </w:rPr>
        <w:t>&amp;</w:t>
      </w:r>
      <w:r w:rsidRPr="00240534">
        <w:rPr>
          <w:rFonts w:ascii="Calibri" w:hAnsi="Calibri" w:cs="Calibri"/>
        </w:rPr>
        <w:t xml:space="preserve"> </w:t>
      </w:r>
      <w:proofErr w:type="spellStart"/>
      <w:r w:rsidRPr="00240534">
        <w:rPr>
          <w:rFonts w:ascii="Calibri" w:hAnsi="Calibri" w:cs="Calibri"/>
        </w:rPr>
        <w:t>Nagi</w:t>
      </w:r>
      <w:proofErr w:type="spellEnd"/>
      <w:r w:rsidRPr="00240534">
        <w:rPr>
          <w:rFonts w:ascii="Calibri" w:hAnsi="Calibri" w:cs="Calibri"/>
        </w:rPr>
        <w:t>, R. (2010)</w:t>
      </w:r>
      <w:r w:rsidR="00B26788" w:rsidRPr="00240534">
        <w:rPr>
          <w:rFonts w:ascii="Calibri" w:hAnsi="Calibri" w:cs="Calibri"/>
        </w:rPr>
        <w:t>,</w:t>
      </w:r>
      <w:r w:rsidRPr="00240534">
        <w:rPr>
          <w:rFonts w:ascii="Calibri" w:hAnsi="Calibri" w:cs="Calibri"/>
        </w:rPr>
        <w:t xml:space="preserve"> </w:t>
      </w:r>
      <w:r w:rsidR="00B26788" w:rsidRPr="00240534">
        <w:rPr>
          <w:rFonts w:ascii="Calibri" w:hAnsi="Calibri" w:cs="Calibri"/>
        </w:rPr>
        <w:t>‘</w:t>
      </w:r>
      <w:r w:rsidRPr="00240534">
        <w:rPr>
          <w:rFonts w:ascii="Calibri" w:hAnsi="Calibri" w:cs="Calibri"/>
        </w:rPr>
        <w:t>Robust Supply Chain Design Under Uncertain Demand in Agile Manufacturing</w:t>
      </w:r>
      <w:r w:rsidR="002E4BC2" w:rsidRPr="00240534">
        <w:rPr>
          <w:rFonts w:ascii="Calibri" w:hAnsi="Calibri" w:cs="Calibri"/>
        </w:rPr>
        <w:t>’,</w:t>
      </w:r>
      <w:r w:rsidRPr="00240534">
        <w:rPr>
          <w:rFonts w:ascii="Calibri" w:hAnsi="Calibri" w:cs="Calibri"/>
        </w:rPr>
        <w:t xml:space="preserve"> </w:t>
      </w:r>
      <w:r w:rsidRPr="00240534">
        <w:rPr>
          <w:rFonts w:ascii="Calibri" w:hAnsi="Calibri" w:cs="Calibri"/>
          <w:i/>
        </w:rPr>
        <w:t>Computers and Operations Research</w:t>
      </w:r>
      <w:r w:rsidR="002E4BC2" w:rsidRPr="00240534">
        <w:rPr>
          <w:rFonts w:ascii="Calibri" w:hAnsi="Calibri" w:cs="Calibri"/>
        </w:rPr>
        <w:t xml:space="preserve">, Vol </w:t>
      </w:r>
      <w:r w:rsidRPr="00240534">
        <w:rPr>
          <w:rFonts w:ascii="Calibri" w:hAnsi="Calibri" w:cs="Calibri"/>
        </w:rPr>
        <w:t>37 (4) pp. 668-683</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 xml:space="preserve">Pettit, T., </w:t>
      </w:r>
      <w:proofErr w:type="spellStart"/>
      <w:r w:rsidRPr="00240534">
        <w:rPr>
          <w:rFonts w:ascii="Calibri" w:hAnsi="Calibri" w:cs="Calibri"/>
        </w:rPr>
        <w:t>Fiksel</w:t>
      </w:r>
      <w:proofErr w:type="spellEnd"/>
      <w:r w:rsidRPr="00240534">
        <w:rPr>
          <w:rFonts w:ascii="Calibri" w:hAnsi="Calibri" w:cs="Calibri"/>
        </w:rPr>
        <w:t xml:space="preserve">, J. </w:t>
      </w:r>
      <w:r w:rsidR="002E4BC2" w:rsidRPr="00240534">
        <w:rPr>
          <w:rFonts w:ascii="Calibri" w:hAnsi="Calibri" w:cs="Calibri"/>
        </w:rPr>
        <w:t>&amp;</w:t>
      </w:r>
      <w:r w:rsidRPr="00240534">
        <w:rPr>
          <w:rFonts w:ascii="Calibri" w:hAnsi="Calibri" w:cs="Calibri"/>
        </w:rPr>
        <w:t xml:space="preserve"> Croxton, K. (2010)</w:t>
      </w:r>
      <w:r w:rsidR="002E4BC2" w:rsidRPr="00240534">
        <w:rPr>
          <w:rFonts w:ascii="Calibri" w:hAnsi="Calibri" w:cs="Calibri"/>
        </w:rPr>
        <w:t>,</w:t>
      </w:r>
      <w:r w:rsidRPr="00240534">
        <w:rPr>
          <w:rFonts w:ascii="Calibri" w:hAnsi="Calibri" w:cs="Calibri"/>
        </w:rPr>
        <w:t xml:space="preserve"> </w:t>
      </w:r>
      <w:r w:rsidR="002E4BC2" w:rsidRPr="00240534">
        <w:rPr>
          <w:rFonts w:ascii="Calibri" w:hAnsi="Calibri" w:cs="Calibri"/>
        </w:rPr>
        <w:t>‘</w:t>
      </w:r>
      <w:r w:rsidRPr="00240534">
        <w:rPr>
          <w:rFonts w:ascii="Calibri" w:hAnsi="Calibri" w:cs="Calibri"/>
        </w:rPr>
        <w:t>Ensuring Supply Chain Resilience: Development of a Conceptual Framework</w:t>
      </w:r>
      <w:r w:rsidR="002E4BC2" w:rsidRPr="00240534">
        <w:rPr>
          <w:rFonts w:ascii="Calibri" w:hAnsi="Calibri" w:cs="Calibri"/>
        </w:rPr>
        <w:t>’,</w:t>
      </w:r>
      <w:r w:rsidRPr="00240534">
        <w:rPr>
          <w:rFonts w:ascii="Calibri" w:hAnsi="Calibri" w:cs="Calibri"/>
        </w:rPr>
        <w:t xml:space="preserve"> </w:t>
      </w:r>
      <w:r w:rsidRPr="00240534">
        <w:rPr>
          <w:rFonts w:ascii="Calibri" w:hAnsi="Calibri" w:cs="Calibri"/>
          <w:i/>
        </w:rPr>
        <w:t>Journal of Business Logistics</w:t>
      </w:r>
      <w:r w:rsidR="002E4BC2" w:rsidRPr="00240534">
        <w:rPr>
          <w:rFonts w:ascii="Calibri" w:hAnsi="Calibri" w:cs="Calibri"/>
        </w:rPr>
        <w:t xml:space="preserve">, Vol </w:t>
      </w:r>
      <w:r w:rsidRPr="00240534">
        <w:rPr>
          <w:rFonts w:ascii="Calibri" w:hAnsi="Calibri" w:cs="Calibri"/>
        </w:rPr>
        <w:t>31 (1) pp. 1-21</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proofErr w:type="spellStart"/>
      <w:r w:rsidRPr="00240534">
        <w:rPr>
          <w:rFonts w:ascii="Calibri" w:hAnsi="Calibri" w:cs="Calibri"/>
        </w:rPr>
        <w:t>Ponis</w:t>
      </w:r>
      <w:proofErr w:type="spellEnd"/>
      <w:r w:rsidRPr="00240534">
        <w:rPr>
          <w:rFonts w:ascii="Calibri" w:hAnsi="Calibri" w:cs="Calibri"/>
        </w:rPr>
        <w:t xml:space="preserve"> S.T. &amp; </w:t>
      </w:r>
      <w:proofErr w:type="spellStart"/>
      <w:r w:rsidRPr="00240534">
        <w:rPr>
          <w:rFonts w:ascii="Calibri" w:hAnsi="Calibri" w:cs="Calibri"/>
        </w:rPr>
        <w:t>Koronis</w:t>
      </w:r>
      <w:proofErr w:type="spellEnd"/>
      <w:r w:rsidRPr="00240534">
        <w:rPr>
          <w:rFonts w:ascii="Calibri" w:hAnsi="Calibri" w:cs="Calibri"/>
        </w:rPr>
        <w:t xml:space="preserve"> E. (2012)</w:t>
      </w:r>
      <w:r w:rsidR="002E4BC2" w:rsidRPr="00240534">
        <w:rPr>
          <w:rFonts w:ascii="Calibri" w:hAnsi="Calibri" w:cs="Calibri"/>
        </w:rPr>
        <w:t>,</w:t>
      </w:r>
      <w:r w:rsidRPr="00240534">
        <w:rPr>
          <w:rFonts w:ascii="Calibri" w:hAnsi="Calibri" w:cs="Calibri"/>
        </w:rPr>
        <w:t xml:space="preserve"> </w:t>
      </w:r>
      <w:r w:rsidR="002E4BC2" w:rsidRPr="00240534">
        <w:rPr>
          <w:rFonts w:ascii="Calibri" w:hAnsi="Calibri" w:cs="Calibri"/>
        </w:rPr>
        <w:t>‘</w:t>
      </w:r>
      <w:r w:rsidR="003331C1" w:rsidRPr="00240534">
        <w:rPr>
          <w:rFonts w:ascii="Calibri" w:hAnsi="Calibri" w:cs="Calibri"/>
        </w:rPr>
        <w:t xml:space="preserve">Supply Chain Resilience: Definition of Concept and its Formative </w:t>
      </w:r>
      <w:bookmarkStart w:id="0" w:name="_GoBack"/>
      <w:r w:rsidR="003331C1" w:rsidRPr="00240534">
        <w:rPr>
          <w:rFonts w:ascii="Calibri" w:hAnsi="Calibri" w:cs="Calibri"/>
        </w:rPr>
        <w:t>Elements</w:t>
      </w:r>
      <w:r w:rsidR="002E4BC2" w:rsidRPr="00240534">
        <w:rPr>
          <w:rFonts w:ascii="Calibri" w:hAnsi="Calibri" w:cs="Calibri"/>
        </w:rPr>
        <w:t>’</w:t>
      </w:r>
      <w:r w:rsidRPr="00240534">
        <w:rPr>
          <w:rFonts w:ascii="Calibri" w:hAnsi="Calibri" w:cs="Calibri"/>
        </w:rPr>
        <w:t xml:space="preserve">, </w:t>
      </w:r>
      <w:r w:rsidRPr="00240534">
        <w:rPr>
          <w:rFonts w:ascii="Calibri" w:hAnsi="Calibri" w:cs="Calibri"/>
          <w:i/>
        </w:rPr>
        <w:t>Journal of Applied Business Research</w:t>
      </w:r>
      <w:r w:rsidRPr="00240534">
        <w:rPr>
          <w:rFonts w:ascii="Calibri" w:hAnsi="Calibri" w:cs="Calibri"/>
        </w:rPr>
        <w:t xml:space="preserve">, </w:t>
      </w:r>
      <w:r w:rsidR="002E4BC2" w:rsidRPr="00240534">
        <w:rPr>
          <w:rFonts w:ascii="Calibri" w:hAnsi="Calibri" w:cs="Calibri"/>
        </w:rPr>
        <w:t xml:space="preserve">Vol </w:t>
      </w:r>
      <w:r w:rsidRPr="00240534">
        <w:rPr>
          <w:rFonts w:ascii="Calibri" w:hAnsi="Calibri" w:cs="Calibri"/>
        </w:rPr>
        <w:t>28(5), pp 9-21</w:t>
      </w:r>
    </w:p>
    <w:bookmarkEnd w:id="0"/>
    <w:p w:rsidR="00C76BBC" w:rsidRPr="00240534" w:rsidRDefault="00C76BBC" w:rsidP="00240534">
      <w:pPr>
        <w:pStyle w:val="ListParagraph"/>
        <w:numPr>
          <w:ilvl w:val="0"/>
          <w:numId w:val="5"/>
        </w:numPr>
        <w:spacing w:line="240" w:lineRule="auto"/>
        <w:ind w:left="567" w:hanging="283"/>
        <w:jc w:val="both"/>
        <w:rPr>
          <w:rFonts w:ascii="Calibri" w:hAnsi="Calibri" w:cs="Calibri"/>
        </w:rPr>
      </w:pPr>
      <w:proofErr w:type="spellStart"/>
      <w:r w:rsidRPr="00240534">
        <w:rPr>
          <w:rFonts w:ascii="Calibri" w:hAnsi="Calibri" w:cs="Calibri"/>
        </w:rPr>
        <w:t>Simchi</w:t>
      </w:r>
      <w:proofErr w:type="spellEnd"/>
      <w:r w:rsidRPr="00240534">
        <w:rPr>
          <w:rFonts w:ascii="Calibri" w:hAnsi="Calibri" w:cs="Calibri"/>
        </w:rPr>
        <w:t xml:space="preserve">-Levi, D., Schmidt, W., Wei, Y., Zhang, P. Y., Combs, K., Ge, Y., </w:t>
      </w:r>
      <w:proofErr w:type="spellStart"/>
      <w:r w:rsidRPr="00240534">
        <w:rPr>
          <w:rFonts w:ascii="Calibri" w:hAnsi="Calibri" w:cs="Calibri"/>
        </w:rPr>
        <w:t>Gusikhin</w:t>
      </w:r>
      <w:proofErr w:type="spellEnd"/>
      <w:r w:rsidRPr="00240534">
        <w:rPr>
          <w:rFonts w:ascii="Calibri" w:hAnsi="Calibri" w:cs="Calibri"/>
        </w:rPr>
        <w:t>, O., Sanders, M. and Zhang, D. (2015)</w:t>
      </w:r>
      <w:r w:rsidR="004775AB" w:rsidRPr="00240534">
        <w:rPr>
          <w:rFonts w:ascii="Calibri" w:hAnsi="Calibri" w:cs="Calibri"/>
        </w:rPr>
        <w:t>,</w:t>
      </w:r>
      <w:r w:rsidRPr="00240534">
        <w:rPr>
          <w:rFonts w:ascii="Calibri" w:hAnsi="Calibri" w:cs="Calibri"/>
        </w:rPr>
        <w:t xml:space="preserve"> </w:t>
      </w:r>
      <w:r w:rsidR="004775AB" w:rsidRPr="00240534">
        <w:rPr>
          <w:rFonts w:ascii="Calibri" w:hAnsi="Calibri" w:cs="Calibri"/>
        </w:rPr>
        <w:t>‘</w:t>
      </w:r>
      <w:r w:rsidRPr="00240534">
        <w:rPr>
          <w:rFonts w:ascii="Calibri" w:hAnsi="Calibri" w:cs="Calibri"/>
        </w:rPr>
        <w:t>Identifying Risks and Mitigating Disruptions in the Automotive Supply Chain</w:t>
      </w:r>
      <w:r w:rsidR="004775AB" w:rsidRPr="00240534">
        <w:rPr>
          <w:rFonts w:ascii="Calibri" w:hAnsi="Calibri" w:cs="Calibri"/>
        </w:rPr>
        <w:t>’,</w:t>
      </w:r>
      <w:r w:rsidRPr="00240534">
        <w:rPr>
          <w:rFonts w:ascii="Calibri" w:hAnsi="Calibri" w:cs="Calibri"/>
        </w:rPr>
        <w:t xml:space="preserve"> </w:t>
      </w:r>
      <w:r w:rsidRPr="00240534">
        <w:rPr>
          <w:rFonts w:ascii="Calibri" w:hAnsi="Calibri" w:cs="Calibri"/>
          <w:i/>
        </w:rPr>
        <w:t>Institute for Operations Research and the Management Sciences</w:t>
      </w:r>
      <w:r w:rsidR="004775AB" w:rsidRPr="00240534">
        <w:rPr>
          <w:rFonts w:ascii="Calibri" w:hAnsi="Calibri" w:cs="Calibri"/>
        </w:rPr>
        <w:t xml:space="preserve"> Vol 45 (5) pp.</w:t>
      </w:r>
      <w:r w:rsidRPr="00240534">
        <w:rPr>
          <w:rFonts w:ascii="Calibri" w:hAnsi="Calibri" w:cs="Calibri"/>
        </w:rPr>
        <w:t>375-390</w:t>
      </w:r>
      <w:r w:rsidR="004775AB" w:rsidRPr="00240534">
        <w:rPr>
          <w:rFonts w:ascii="Calibri" w:hAnsi="Calibri" w:cs="Calibri"/>
        </w:rPr>
        <w:t>.</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Tang, C. (2006)</w:t>
      </w:r>
      <w:r w:rsidR="00FD742D" w:rsidRPr="00240534">
        <w:rPr>
          <w:rFonts w:ascii="Calibri" w:hAnsi="Calibri" w:cs="Calibri"/>
        </w:rPr>
        <w:t>,</w:t>
      </w:r>
      <w:r w:rsidRPr="00240534">
        <w:rPr>
          <w:rFonts w:ascii="Calibri" w:hAnsi="Calibri" w:cs="Calibri"/>
        </w:rPr>
        <w:t xml:space="preserve"> </w:t>
      </w:r>
      <w:r w:rsidR="00FD742D" w:rsidRPr="00240534">
        <w:rPr>
          <w:rFonts w:ascii="Calibri" w:hAnsi="Calibri" w:cs="Calibri"/>
        </w:rPr>
        <w:t>‘</w:t>
      </w:r>
      <w:r w:rsidRPr="00240534">
        <w:rPr>
          <w:rFonts w:ascii="Calibri" w:hAnsi="Calibri" w:cs="Calibri"/>
        </w:rPr>
        <w:t>Robust Strategies for Miti</w:t>
      </w:r>
      <w:r w:rsidR="00FD742D" w:rsidRPr="00240534">
        <w:rPr>
          <w:rFonts w:ascii="Calibri" w:hAnsi="Calibri" w:cs="Calibri"/>
        </w:rPr>
        <w:t>gating Supply Chain Disruptions’,</w:t>
      </w:r>
      <w:r w:rsidRPr="00240534">
        <w:rPr>
          <w:rFonts w:ascii="Calibri" w:hAnsi="Calibri" w:cs="Calibri"/>
        </w:rPr>
        <w:t xml:space="preserve"> </w:t>
      </w:r>
      <w:r w:rsidRPr="00240534">
        <w:rPr>
          <w:rFonts w:ascii="Calibri" w:hAnsi="Calibri" w:cs="Calibri"/>
          <w:i/>
        </w:rPr>
        <w:t>International Journal of Logistics</w:t>
      </w:r>
      <w:r w:rsidR="00FD742D" w:rsidRPr="00240534">
        <w:rPr>
          <w:rFonts w:ascii="Calibri" w:hAnsi="Calibri" w:cs="Calibri"/>
        </w:rPr>
        <w:t>, Vol</w:t>
      </w:r>
      <w:r w:rsidRPr="00240534">
        <w:rPr>
          <w:rFonts w:ascii="Calibri" w:hAnsi="Calibri" w:cs="Calibri"/>
        </w:rPr>
        <w:t xml:space="preserve"> 9 (1) pp. 33</w:t>
      </w:r>
      <w:r w:rsidR="00BD41D6" w:rsidRPr="00240534">
        <w:rPr>
          <w:rFonts w:ascii="Calibri" w:hAnsi="Calibri" w:cs="Calibri"/>
        </w:rPr>
        <w:t>-</w:t>
      </w:r>
      <w:r w:rsidRPr="00240534">
        <w:rPr>
          <w:rFonts w:ascii="Calibri" w:hAnsi="Calibri" w:cs="Calibri"/>
        </w:rPr>
        <w:t>45</w:t>
      </w:r>
    </w:p>
    <w:p w:rsidR="00C76BBC" w:rsidRPr="00240534" w:rsidRDefault="00512261" w:rsidP="00240534">
      <w:pPr>
        <w:pStyle w:val="ListParagraph"/>
        <w:numPr>
          <w:ilvl w:val="0"/>
          <w:numId w:val="5"/>
        </w:numPr>
        <w:spacing w:line="240" w:lineRule="auto"/>
        <w:ind w:left="567" w:hanging="283"/>
        <w:jc w:val="both"/>
        <w:rPr>
          <w:rFonts w:ascii="Calibri" w:hAnsi="Calibri" w:cs="Calibri"/>
        </w:rPr>
      </w:pPr>
      <w:proofErr w:type="spellStart"/>
      <w:r w:rsidRPr="00240534">
        <w:rPr>
          <w:rFonts w:ascii="Calibri" w:hAnsi="Calibri" w:cs="Calibri"/>
        </w:rPr>
        <w:t>Vesely</w:t>
      </w:r>
      <w:proofErr w:type="spellEnd"/>
      <w:r w:rsidRPr="00240534">
        <w:rPr>
          <w:rFonts w:ascii="Calibri" w:hAnsi="Calibri" w:cs="Calibri"/>
        </w:rPr>
        <w:t xml:space="preserve"> W., </w:t>
      </w:r>
      <w:proofErr w:type="spellStart"/>
      <w:r w:rsidRPr="00240534">
        <w:rPr>
          <w:rFonts w:ascii="Calibri" w:hAnsi="Calibri" w:cs="Calibri"/>
        </w:rPr>
        <w:t>Stamatelatos</w:t>
      </w:r>
      <w:proofErr w:type="spellEnd"/>
      <w:r w:rsidRPr="00240534">
        <w:rPr>
          <w:rFonts w:ascii="Calibri" w:hAnsi="Calibri" w:cs="Calibri"/>
        </w:rPr>
        <w:t xml:space="preserve"> M., Dugan J.</w:t>
      </w:r>
      <w:r w:rsidR="00C76BBC" w:rsidRPr="00240534">
        <w:rPr>
          <w:rFonts w:ascii="Calibri" w:hAnsi="Calibri" w:cs="Calibri"/>
        </w:rPr>
        <w:t xml:space="preserve">, </w:t>
      </w:r>
      <w:proofErr w:type="spellStart"/>
      <w:r w:rsidR="00C76BBC" w:rsidRPr="00240534">
        <w:rPr>
          <w:rFonts w:ascii="Calibri" w:hAnsi="Calibri" w:cs="Calibri"/>
        </w:rPr>
        <w:t>Fragola</w:t>
      </w:r>
      <w:proofErr w:type="spellEnd"/>
      <w:r w:rsidRPr="00240534">
        <w:rPr>
          <w:rFonts w:ascii="Calibri" w:hAnsi="Calibri" w:cs="Calibri"/>
        </w:rPr>
        <w:t xml:space="preserve"> J., </w:t>
      </w:r>
      <w:proofErr w:type="spellStart"/>
      <w:r w:rsidRPr="00240534">
        <w:rPr>
          <w:rFonts w:ascii="Calibri" w:hAnsi="Calibri" w:cs="Calibri"/>
        </w:rPr>
        <w:t>Minarick</w:t>
      </w:r>
      <w:proofErr w:type="spellEnd"/>
      <w:r w:rsidR="00C76BBC" w:rsidRPr="00240534">
        <w:rPr>
          <w:rFonts w:ascii="Calibri" w:hAnsi="Calibri" w:cs="Calibri"/>
        </w:rPr>
        <w:t xml:space="preserve"> J., &amp; </w:t>
      </w:r>
      <w:proofErr w:type="spellStart"/>
      <w:r w:rsidR="00C76BBC" w:rsidRPr="00240534">
        <w:rPr>
          <w:rFonts w:ascii="Calibri" w:hAnsi="Calibri" w:cs="Calibri"/>
        </w:rPr>
        <w:t>Railsback</w:t>
      </w:r>
      <w:proofErr w:type="spellEnd"/>
      <w:r w:rsidR="00C76BBC" w:rsidRPr="00240534">
        <w:rPr>
          <w:rFonts w:ascii="Calibri" w:hAnsi="Calibri" w:cs="Calibri"/>
        </w:rPr>
        <w:t xml:space="preserve"> </w:t>
      </w:r>
      <w:r w:rsidR="008848F8" w:rsidRPr="00240534">
        <w:rPr>
          <w:rFonts w:ascii="Calibri" w:hAnsi="Calibri" w:cs="Calibri"/>
        </w:rPr>
        <w:t>J. (2002),</w:t>
      </w:r>
      <w:r w:rsidR="00C76BBC" w:rsidRPr="00240534">
        <w:rPr>
          <w:rFonts w:ascii="Calibri" w:hAnsi="Calibri" w:cs="Calibri"/>
        </w:rPr>
        <w:t xml:space="preserve"> </w:t>
      </w:r>
      <w:r w:rsidR="008848F8" w:rsidRPr="00240534">
        <w:rPr>
          <w:rFonts w:ascii="Calibri" w:hAnsi="Calibri" w:cs="Calibri"/>
        </w:rPr>
        <w:t>‘</w:t>
      </w:r>
      <w:r w:rsidR="00C76BBC" w:rsidRPr="00240534">
        <w:rPr>
          <w:rFonts w:ascii="Calibri" w:hAnsi="Calibri" w:cs="Calibri"/>
        </w:rPr>
        <w:t>Fault Tree Handbook with Aerospace Applications</w:t>
      </w:r>
      <w:r w:rsidR="008848F8" w:rsidRPr="00240534">
        <w:rPr>
          <w:rFonts w:ascii="Calibri" w:hAnsi="Calibri" w:cs="Calibri"/>
        </w:rPr>
        <w:t>’,</w:t>
      </w:r>
      <w:r w:rsidR="00C76BBC" w:rsidRPr="00240534">
        <w:rPr>
          <w:rFonts w:ascii="Calibri" w:hAnsi="Calibri" w:cs="Calibri"/>
        </w:rPr>
        <w:t xml:space="preserve"> Washington DC: NASA Office o</w:t>
      </w:r>
      <w:r w:rsidR="00AB7294" w:rsidRPr="00240534">
        <w:rPr>
          <w:rFonts w:ascii="Calibri" w:hAnsi="Calibri" w:cs="Calibri"/>
        </w:rPr>
        <w:t xml:space="preserve">f Safety </w:t>
      </w:r>
      <w:r w:rsidRPr="00240534">
        <w:rPr>
          <w:rFonts w:ascii="Calibri" w:hAnsi="Calibri" w:cs="Calibri"/>
        </w:rPr>
        <w:t>and</w:t>
      </w:r>
      <w:r w:rsidR="00AB7294" w:rsidRPr="00240534">
        <w:rPr>
          <w:rFonts w:ascii="Calibri" w:hAnsi="Calibri" w:cs="Calibri"/>
        </w:rPr>
        <w:t xml:space="preserve"> Mission Assurance.</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Walker, M. (2009)</w:t>
      </w:r>
      <w:r w:rsidR="00B67A1C" w:rsidRPr="00240534">
        <w:rPr>
          <w:rFonts w:ascii="Calibri" w:hAnsi="Calibri" w:cs="Calibri"/>
        </w:rPr>
        <w:t>, ‘</w:t>
      </w:r>
      <w:r w:rsidRPr="00240534">
        <w:rPr>
          <w:rFonts w:ascii="Calibri" w:hAnsi="Calibri" w:cs="Calibri"/>
        </w:rPr>
        <w:t>Pandora: A Logic for the Qualitative Analysis of Temporal Fault Trees</w:t>
      </w:r>
      <w:r w:rsidR="00B67A1C" w:rsidRPr="00240534">
        <w:rPr>
          <w:rFonts w:ascii="Calibri" w:hAnsi="Calibri" w:cs="Calibri"/>
        </w:rPr>
        <w:t xml:space="preserve">’, </w:t>
      </w:r>
      <w:r w:rsidR="00B67A1C" w:rsidRPr="00240534">
        <w:rPr>
          <w:rFonts w:ascii="Calibri" w:hAnsi="Calibri" w:cs="Calibri"/>
          <w:i/>
        </w:rPr>
        <w:t>PhD Thesis</w:t>
      </w:r>
      <w:r w:rsidR="00B67A1C" w:rsidRPr="00240534">
        <w:rPr>
          <w:rFonts w:ascii="Calibri" w:hAnsi="Calibri" w:cs="Calibri"/>
        </w:rPr>
        <w:t>, University of Hull</w:t>
      </w:r>
    </w:p>
    <w:p w:rsidR="00C76BBC" w:rsidRPr="00240534" w:rsidRDefault="00C76BBC"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World Economic Forum (2018)</w:t>
      </w:r>
      <w:r w:rsidR="000B7DFD" w:rsidRPr="00240534">
        <w:rPr>
          <w:rFonts w:ascii="Calibri" w:hAnsi="Calibri" w:cs="Calibri"/>
        </w:rPr>
        <w:t>,</w:t>
      </w:r>
      <w:r w:rsidRPr="00240534">
        <w:rPr>
          <w:rFonts w:ascii="Calibri" w:hAnsi="Calibri" w:cs="Calibri"/>
        </w:rPr>
        <w:t xml:space="preserve"> </w:t>
      </w:r>
      <w:r w:rsidR="000B7DFD" w:rsidRPr="00240534">
        <w:rPr>
          <w:rFonts w:ascii="Calibri" w:hAnsi="Calibri" w:cs="Calibri"/>
        </w:rPr>
        <w:t>‘</w:t>
      </w:r>
      <w:r w:rsidRPr="00240534">
        <w:rPr>
          <w:rFonts w:ascii="Calibri" w:hAnsi="Calibri" w:cs="Calibri"/>
        </w:rPr>
        <w:t>The Global Risks Report 2018</w:t>
      </w:r>
      <w:r w:rsidR="000B7DFD" w:rsidRPr="00240534">
        <w:rPr>
          <w:rFonts w:ascii="Calibri" w:hAnsi="Calibri" w:cs="Calibri"/>
        </w:rPr>
        <w:t xml:space="preserve">’, </w:t>
      </w:r>
      <w:r w:rsidRPr="00240534">
        <w:rPr>
          <w:rFonts w:ascii="Calibri" w:hAnsi="Calibri" w:cs="Calibri"/>
        </w:rPr>
        <w:t>accessed on 7th Ma</w:t>
      </w:r>
      <w:r w:rsidR="000B7DFD" w:rsidRPr="00240534">
        <w:rPr>
          <w:rFonts w:ascii="Calibri" w:hAnsi="Calibri" w:cs="Calibri"/>
        </w:rPr>
        <w:t>y 2018,</w:t>
      </w:r>
      <w:r w:rsidRPr="00240534">
        <w:rPr>
          <w:rFonts w:ascii="Calibri" w:hAnsi="Calibri" w:cs="Calibri"/>
        </w:rPr>
        <w:t xml:space="preserve"> </w:t>
      </w:r>
      <w:r w:rsidR="000B7DFD" w:rsidRPr="00240534">
        <w:rPr>
          <w:rFonts w:ascii="Calibri" w:hAnsi="Calibri" w:cs="Calibri"/>
        </w:rPr>
        <w:t xml:space="preserve">from </w:t>
      </w:r>
      <w:r w:rsidRPr="00240534">
        <w:rPr>
          <w:rFonts w:ascii="Calibri" w:hAnsi="Calibri" w:cs="Calibri"/>
        </w:rPr>
        <w:t>https://www.weforum.org/reports/the-global-risks-report-2018</w:t>
      </w:r>
    </w:p>
    <w:p w:rsidR="00C76BBC" w:rsidRPr="00240534" w:rsidRDefault="000B7DFD" w:rsidP="00240534">
      <w:pPr>
        <w:pStyle w:val="ListParagraph"/>
        <w:numPr>
          <w:ilvl w:val="0"/>
          <w:numId w:val="5"/>
        </w:numPr>
        <w:spacing w:line="240" w:lineRule="auto"/>
        <w:ind w:left="567" w:hanging="283"/>
        <w:jc w:val="both"/>
        <w:rPr>
          <w:rFonts w:ascii="Calibri" w:hAnsi="Calibri" w:cs="Calibri"/>
        </w:rPr>
      </w:pPr>
      <w:r w:rsidRPr="00240534">
        <w:rPr>
          <w:rFonts w:ascii="Calibri" w:hAnsi="Calibri" w:cs="Calibri"/>
        </w:rPr>
        <w:t xml:space="preserve">Yin, R. </w:t>
      </w:r>
      <w:r w:rsidR="00C76BBC" w:rsidRPr="00240534">
        <w:rPr>
          <w:rFonts w:ascii="Calibri" w:hAnsi="Calibri" w:cs="Calibri"/>
        </w:rPr>
        <w:t>(2009)</w:t>
      </w:r>
      <w:r w:rsidRPr="00240534">
        <w:rPr>
          <w:rFonts w:ascii="Calibri" w:hAnsi="Calibri" w:cs="Calibri"/>
        </w:rPr>
        <w:t>,</w:t>
      </w:r>
      <w:r w:rsidR="00C76BBC" w:rsidRPr="00240534">
        <w:rPr>
          <w:rFonts w:ascii="Calibri" w:hAnsi="Calibri" w:cs="Calibri"/>
        </w:rPr>
        <w:t xml:space="preserve"> </w:t>
      </w:r>
      <w:r w:rsidRPr="00240534">
        <w:rPr>
          <w:rFonts w:ascii="Calibri" w:hAnsi="Calibri" w:cs="Calibri"/>
        </w:rPr>
        <w:t>‘</w:t>
      </w:r>
      <w:r w:rsidR="00C76BBC" w:rsidRPr="00240534">
        <w:rPr>
          <w:rFonts w:ascii="Calibri" w:hAnsi="Calibri" w:cs="Calibri"/>
        </w:rPr>
        <w:t>Case Studies: Design and Methods</w:t>
      </w:r>
      <w:r w:rsidRPr="00240534">
        <w:rPr>
          <w:rFonts w:ascii="Calibri" w:hAnsi="Calibri" w:cs="Calibri"/>
        </w:rPr>
        <w:t>’,</w:t>
      </w:r>
      <w:r w:rsidR="00C76BBC" w:rsidRPr="00240534">
        <w:rPr>
          <w:rFonts w:ascii="Calibri" w:hAnsi="Calibri" w:cs="Calibri"/>
        </w:rPr>
        <w:t xml:space="preserve"> 4th </w:t>
      </w:r>
      <w:proofErr w:type="spellStart"/>
      <w:r w:rsidR="00C76BBC" w:rsidRPr="00240534">
        <w:rPr>
          <w:rFonts w:ascii="Calibri" w:hAnsi="Calibri" w:cs="Calibri"/>
        </w:rPr>
        <w:t>ed</w:t>
      </w:r>
      <w:proofErr w:type="spellEnd"/>
      <w:r w:rsidRPr="00240534">
        <w:rPr>
          <w:rFonts w:ascii="Calibri" w:hAnsi="Calibri" w:cs="Calibri"/>
        </w:rPr>
        <w:t>,</w:t>
      </w:r>
      <w:r w:rsidR="00C76BBC" w:rsidRPr="00240534">
        <w:rPr>
          <w:rFonts w:ascii="Calibri" w:hAnsi="Calibri" w:cs="Calibri"/>
        </w:rPr>
        <w:t xml:space="preserve"> Thousand Oaks: Sage Publications</w:t>
      </w:r>
    </w:p>
    <w:p w:rsidR="00B403C1" w:rsidRPr="00240534" w:rsidRDefault="00C76BBC" w:rsidP="00240534">
      <w:pPr>
        <w:pStyle w:val="ListParagraph"/>
        <w:numPr>
          <w:ilvl w:val="0"/>
          <w:numId w:val="5"/>
        </w:numPr>
        <w:spacing w:line="240" w:lineRule="auto"/>
        <w:ind w:left="567" w:hanging="283"/>
        <w:jc w:val="both"/>
        <w:rPr>
          <w:rFonts w:ascii="Calibri" w:hAnsi="Calibri" w:cs="Calibri"/>
        </w:rPr>
      </w:pPr>
      <w:proofErr w:type="spellStart"/>
      <w:r w:rsidRPr="00240534">
        <w:rPr>
          <w:rFonts w:ascii="Calibri" w:hAnsi="Calibri" w:cs="Calibri"/>
        </w:rPr>
        <w:t>Ziegenbein</w:t>
      </w:r>
      <w:proofErr w:type="spellEnd"/>
      <w:r w:rsidRPr="00240534">
        <w:rPr>
          <w:rFonts w:ascii="Calibri" w:hAnsi="Calibri" w:cs="Calibri"/>
        </w:rPr>
        <w:t xml:space="preserve">, A., &amp; </w:t>
      </w:r>
      <w:proofErr w:type="spellStart"/>
      <w:r w:rsidRPr="00240534">
        <w:rPr>
          <w:rFonts w:ascii="Calibri" w:hAnsi="Calibri" w:cs="Calibri"/>
        </w:rPr>
        <w:t>Baumgart</w:t>
      </w:r>
      <w:proofErr w:type="spellEnd"/>
      <w:r w:rsidRPr="00240534">
        <w:rPr>
          <w:rFonts w:ascii="Calibri" w:hAnsi="Calibri" w:cs="Calibri"/>
        </w:rPr>
        <w:t>, J. (2006)</w:t>
      </w:r>
      <w:r w:rsidR="000B7DFD" w:rsidRPr="00240534">
        <w:rPr>
          <w:rFonts w:ascii="Calibri" w:hAnsi="Calibri" w:cs="Calibri"/>
        </w:rPr>
        <w:t>,</w:t>
      </w:r>
      <w:r w:rsidRPr="00240534">
        <w:rPr>
          <w:rFonts w:ascii="Calibri" w:hAnsi="Calibri" w:cs="Calibri"/>
        </w:rPr>
        <w:t xml:space="preserve"> </w:t>
      </w:r>
      <w:r w:rsidR="000B7DFD" w:rsidRPr="00240534">
        <w:rPr>
          <w:rFonts w:ascii="Calibri" w:hAnsi="Calibri" w:cs="Calibri"/>
        </w:rPr>
        <w:t>‘</w:t>
      </w:r>
      <w:r w:rsidR="003331C1" w:rsidRPr="00240534">
        <w:rPr>
          <w:rFonts w:ascii="Calibri" w:hAnsi="Calibri" w:cs="Calibri"/>
        </w:rPr>
        <w:t xml:space="preserve">Supply Chain Risk Assessment-A Quantitative </w:t>
      </w:r>
      <w:r w:rsidRPr="00240534">
        <w:rPr>
          <w:rFonts w:ascii="Calibri" w:hAnsi="Calibri" w:cs="Calibri"/>
        </w:rPr>
        <w:t>Approach</w:t>
      </w:r>
      <w:r w:rsidR="000B7DFD" w:rsidRPr="00240534">
        <w:rPr>
          <w:rFonts w:ascii="Calibri" w:hAnsi="Calibri" w:cs="Calibri"/>
        </w:rPr>
        <w:t>’,</w:t>
      </w:r>
      <w:r w:rsidRPr="00240534">
        <w:rPr>
          <w:rFonts w:ascii="Calibri" w:hAnsi="Calibri" w:cs="Calibri"/>
        </w:rPr>
        <w:t xml:space="preserve"> </w:t>
      </w:r>
      <w:r w:rsidR="000B7DFD" w:rsidRPr="00240534">
        <w:rPr>
          <w:rFonts w:ascii="Calibri" w:hAnsi="Calibri" w:cs="Calibri"/>
        </w:rPr>
        <w:t>accessed on</w:t>
      </w:r>
      <w:r w:rsidRPr="00240534">
        <w:rPr>
          <w:rFonts w:ascii="Calibri" w:hAnsi="Calibri" w:cs="Calibri"/>
        </w:rPr>
        <w:t xml:space="preserve"> May 12, 2016, from http://www.fucam.ac.be/redirect.php3?id=46721</w:t>
      </w:r>
    </w:p>
    <w:sectPr w:rsidR="00B403C1" w:rsidRPr="00240534" w:rsidSect="006660C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BAA"/>
    <w:multiLevelType w:val="hybridMultilevel"/>
    <w:tmpl w:val="4FA6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05FE9"/>
    <w:multiLevelType w:val="hybridMultilevel"/>
    <w:tmpl w:val="4D66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76AE2"/>
    <w:multiLevelType w:val="hybridMultilevel"/>
    <w:tmpl w:val="4504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26E17"/>
    <w:multiLevelType w:val="hybridMultilevel"/>
    <w:tmpl w:val="F7E809B0"/>
    <w:lvl w:ilvl="0" w:tplc="5FEC5E8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B3764"/>
    <w:multiLevelType w:val="hybridMultilevel"/>
    <w:tmpl w:val="59A6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2MDMzMjE3NTIxMDdX0lEKTi0uzszPAykwMq8FAOSfwlctAAAA"/>
  </w:docVars>
  <w:rsids>
    <w:rsidRoot w:val="008F26AE"/>
    <w:rsid w:val="0000105C"/>
    <w:rsid w:val="00004040"/>
    <w:rsid w:val="00007409"/>
    <w:rsid w:val="0000776F"/>
    <w:rsid w:val="00010DA9"/>
    <w:rsid w:val="0001442D"/>
    <w:rsid w:val="0002116B"/>
    <w:rsid w:val="00024B50"/>
    <w:rsid w:val="00025FF0"/>
    <w:rsid w:val="0002669C"/>
    <w:rsid w:val="0002740F"/>
    <w:rsid w:val="000412F3"/>
    <w:rsid w:val="00044561"/>
    <w:rsid w:val="00045148"/>
    <w:rsid w:val="00050CC6"/>
    <w:rsid w:val="00051954"/>
    <w:rsid w:val="0005370D"/>
    <w:rsid w:val="00055A78"/>
    <w:rsid w:val="0005678E"/>
    <w:rsid w:val="00057865"/>
    <w:rsid w:val="000660CE"/>
    <w:rsid w:val="000717D0"/>
    <w:rsid w:val="000731B9"/>
    <w:rsid w:val="000759BE"/>
    <w:rsid w:val="0007626B"/>
    <w:rsid w:val="00083A20"/>
    <w:rsid w:val="000857FF"/>
    <w:rsid w:val="00092068"/>
    <w:rsid w:val="000A139A"/>
    <w:rsid w:val="000B1DB0"/>
    <w:rsid w:val="000B7DFD"/>
    <w:rsid w:val="000D1042"/>
    <w:rsid w:val="000D6379"/>
    <w:rsid w:val="000E0E18"/>
    <w:rsid w:val="000E1F2C"/>
    <w:rsid w:val="000E35E6"/>
    <w:rsid w:val="000E4CC6"/>
    <w:rsid w:val="000F3482"/>
    <w:rsid w:val="000F7374"/>
    <w:rsid w:val="00103C70"/>
    <w:rsid w:val="001136B4"/>
    <w:rsid w:val="00121378"/>
    <w:rsid w:val="00122833"/>
    <w:rsid w:val="00123AD6"/>
    <w:rsid w:val="00125194"/>
    <w:rsid w:val="0013140A"/>
    <w:rsid w:val="001321C6"/>
    <w:rsid w:val="00146E47"/>
    <w:rsid w:val="00152BEF"/>
    <w:rsid w:val="00152D08"/>
    <w:rsid w:val="00155829"/>
    <w:rsid w:val="0015759E"/>
    <w:rsid w:val="00157628"/>
    <w:rsid w:val="001618D2"/>
    <w:rsid w:val="00164BB0"/>
    <w:rsid w:val="00167115"/>
    <w:rsid w:val="0017173F"/>
    <w:rsid w:val="00173F8E"/>
    <w:rsid w:val="001743C7"/>
    <w:rsid w:val="00176A1C"/>
    <w:rsid w:val="00180D3A"/>
    <w:rsid w:val="0018114F"/>
    <w:rsid w:val="00195E69"/>
    <w:rsid w:val="0019635B"/>
    <w:rsid w:val="001A58C0"/>
    <w:rsid w:val="001A771F"/>
    <w:rsid w:val="001B3A01"/>
    <w:rsid w:val="001C1AB6"/>
    <w:rsid w:val="001C2AFD"/>
    <w:rsid w:val="001D0873"/>
    <w:rsid w:val="001D38FC"/>
    <w:rsid w:val="001D4211"/>
    <w:rsid w:val="001E4CCA"/>
    <w:rsid w:val="001E5A60"/>
    <w:rsid w:val="001F6BCC"/>
    <w:rsid w:val="002034F7"/>
    <w:rsid w:val="00204227"/>
    <w:rsid w:val="00205CAB"/>
    <w:rsid w:val="00207AE6"/>
    <w:rsid w:val="00215EF9"/>
    <w:rsid w:val="002201F8"/>
    <w:rsid w:val="002211DD"/>
    <w:rsid w:val="00224363"/>
    <w:rsid w:val="0023309A"/>
    <w:rsid w:val="00236151"/>
    <w:rsid w:val="00240534"/>
    <w:rsid w:val="00250A42"/>
    <w:rsid w:val="00250C9A"/>
    <w:rsid w:val="00252982"/>
    <w:rsid w:val="00253C12"/>
    <w:rsid w:val="00260E18"/>
    <w:rsid w:val="0026136B"/>
    <w:rsid w:val="00262708"/>
    <w:rsid w:val="002713F3"/>
    <w:rsid w:val="00275B74"/>
    <w:rsid w:val="002A4E87"/>
    <w:rsid w:val="002A6052"/>
    <w:rsid w:val="002B2515"/>
    <w:rsid w:val="002C1CF2"/>
    <w:rsid w:val="002C1DDA"/>
    <w:rsid w:val="002D10C3"/>
    <w:rsid w:val="002D3F46"/>
    <w:rsid w:val="002D4382"/>
    <w:rsid w:val="002D4D82"/>
    <w:rsid w:val="002E4BC2"/>
    <w:rsid w:val="002E7BFD"/>
    <w:rsid w:val="002F4E3D"/>
    <w:rsid w:val="002F693C"/>
    <w:rsid w:val="003011F7"/>
    <w:rsid w:val="00304A32"/>
    <w:rsid w:val="00306CA1"/>
    <w:rsid w:val="003331C1"/>
    <w:rsid w:val="00333850"/>
    <w:rsid w:val="00333D3A"/>
    <w:rsid w:val="00337A8F"/>
    <w:rsid w:val="00361ECD"/>
    <w:rsid w:val="00366B19"/>
    <w:rsid w:val="00385E6C"/>
    <w:rsid w:val="00386E1D"/>
    <w:rsid w:val="00391E0E"/>
    <w:rsid w:val="00392982"/>
    <w:rsid w:val="00392B7B"/>
    <w:rsid w:val="0039393E"/>
    <w:rsid w:val="00394229"/>
    <w:rsid w:val="00397529"/>
    <w:rsid w:val="003A7CEB"/>
    <w:rsid w:val="003B0577"/>
    <w:rsid w:val="003B4F51"/>
    <w:rsid w:val="003C0386"/>
    <w:rsid w:val="003C3257"/>
    <w:rsid w:val="003C62F9"/>
    <w:rsid w:val="003E3883"/>
    <w:rsid w:val="003E4803"/>
    <w:rsid w:val="003F42A0"/>
    <w:rsid w:val="003F4ADF"/>
    <w:rsid w:val="003F71E5"/>
    <w:rsid w:val="003F7256"/>
    <w:rsid w:val="00404930"/>
    <w:rsid w:val="004118D9"/>
    <w:rsid w:val="00413B83"/>
    <w:rsid w:val="004176FB"/>
    <w:rsid w:val="004253AA"/>
    <w:rsid w:val="004310FF"/>
    <w:rsid w:val="00431B0E"/>
    <w:rsid w:val="00437FB9"/>
    <w:rsid w:val="00451057"/>
    <w:rsid w:val="00452598"/>
    <w:rsid w:val="00452FA6"/>
    <w:rsid w:val="004578A5"/>
    <w:rsid w:val="004611BC"/>
    <w:rsid w:val="00461C39"/>
    <w:rsid w:val="00462A89"/>
    <w:rsid w:val="00462FAB"/>
    <w:rsid w:val="00463885"/>
    <w:rsid w:val="004639D9"/>
    <w:rsid w:val="00466F87"/>
    <w:rsid w:val="00472C79"/>
    <w:rsid w:val="004775AB"/>
    <w:rsid w:val="00481F8B"/>
    <w:rsid w:val="0048671D"/>
    <w:rsid w:val="0048731E"/>
    <w:rsid w:val="004A4174"/>
    <w:rsid w:val="004A47BF"/>
    <w:rsid w:val="004B2575"/>
    <w:rsid w:val="004B4BA6"/>
    <w:rsid w:val="004D1188"/>
    <w:rsid w:val="004D1AAA"/>
    <w:rsid w:val="004D4AF5"/>
    <w:rsid w:val="004D64EA"/>
    <w:rsid w:val="004E3B49"/>
    <w:rsid w:val="004F193A"/>
    <w:rsid w:val="004F1FA8"/>
    <w:rsid w:val="00505B64"/>
    <w:rsid w:val="00512261"/>
    <w:rsid w:val="0051226B"/>
    <w:rsid w:val="0052151C"/>
    <w:rsid w:val="00523BE0"/>
    <w:rsid w:val="005423DF"/>
    <w:rsid w:val="005433A7"/>
    <w:rsid w:val="00553FF7"/>
    <w:rsid w:val="0055556C"/>
    <w:rsid w:val="0057331C"/>
    <w:rsid w:val="0057706F"/>
    <w:rsid w:val="00581CC9"/>
    <w:rsid w:val="00586D0D"/>
    <w:rsid w:val="00587EC7"/>
    <w:rsid w:val="00593295"/>
    <w:rsid w:val="005971F1"/>
    <w:rsid w:val="005A6FD4"/>
    <w:rsid w:val="005A713D"/>
    <w:rsid w:val="005B4474"/>
    <w:rsid w:val="005B61B1"/>
    <w:rsid w:val="005C2362"/>
    <w:rsid w:val="005D030A"/>
    <w:rsid w:val="005D060B"/>
    <w:rsid w:val="005D4D7A"/>
    <w:rsid w:val="005D7B9A"/>
    <w:rsid w:val="005E1565"/>
    <w:rsid w:val="005E644A"/>
    <w:rsid w:val="005E72D1"/>
    <w:rsid w:val="005F7A42"/>
    <w:rsid w:val="00615908"/>
    <w:rsid w:val="00616FE1"/>
    <w:rsid w:val="00622D7C"/>
    <w:rsid w:val="0063101D"/>
    <w:rsid w:val="00634C40"/>
    <w:rsid w:val="00642071"/>
    <w:rsid w:val="00647FA6"/>
    <w:rsid w:val="00654F7A"/>
    <w:rsid w:val="00664007"/>
    <w:rsid w:val="00665E44"/>
    <w:rsid w:val="006660C1"/>
    <w:rsid w:val="00670CA6"/>
    <w:rsid w:val="006711AE"/>
    <w:rsid w:val="00675590"/>
    <w:rsid w:val="00675AB5"/>
    <w:rsid w:val="00687328"/>
    <w:rsid w:val="006901A8"/>
    <w:rsid w:val="00694218"/>
    <w:rsid w:val="006A3D87"/>
    <w:rsid w:val="006B1497"/>
    <w:rsid w:val="006C4CE4"/>
    <w:rsid w:val="006C50F5"/>
    <w:rsid w:val="006D30EA"/>
    <w:rsid w:val="006E0853"/>
    <w:rsid w:val="006E1954"/>
    <w:rsid w:val="006E3462"/>
    <w:rsid w:val="006E64E4"/>
    <w:rsid w:val="006E67FA"/>
    <w:rsid w:val="006F103D"/>
    <w:rsid w:val="006F5403"/>
    <w:rsid w:val="00702AFF"/>
    <w:rsid w:val="00715B2A"/>
    <w:rsid w:val="00717533"/>
    <w:rsid w:val="0071795B"/>
    <w:rsid w:val="00724D69"/>
    <w:rsid w:val="00732B14"/>
    <w:rsid w:val="00735821"/>
    <w:rsid w:val="007446EE"/>
    <w:rsid w:val="0075037C"/>
    <w:rsid w:val="0075059C"/>
    <w:rsid w:val="007521C9"/>
    <w:rsid w:val="00763308"/>
    <w:rsid w:val="00765714"/>
    <w:rsid w:val="00774DE3"/>
    <w:rsid w:val="00774F15"/>
    <w:rsid w:val="00777611"/>
    <w:rsid w:val="00792AB5"/>
    <w:rsid w:val="0079346E"/>
    <w:rsid w:val="00794312"/>
    <w:rsid w:val="007A1BCC"/>
    <w:rsid w:val="007A3D13"/>
    <w:rsid w:val="007B4A02"/>
    <w:rsid w:val="007B5EB6"/>
    <w:rsid w:val="007E2247"/>
    <w:rsid w:val="007E4BFC"/>
    <w:rsid w:val="007E6072"/>
    <w:rsid w:val="007F0742"/>
    <w:rsid w:val="007F298B"/>
    <w:rsid w:val="007F760E"/>
    <w:rsid w:val="00800707"/>
    <w:rsid w:val="00802977"/>
    <w:rsid w:val="00803E9A"/>
    <w:rsid w:val="0081125C"/>
    <w:rsid w:val="00811581"/>
    <w:rsid w:val="00812758"/>
    <w:rsid w:val="00813CAB"/>
    <w:rsid w:val="008145E6"/>
    <w:rsid w:val="00826321"/>
    <w:rsid w:val="008263A4"/>
    <w:rsid w:val="008530D7"/>
    <w:rsid w:val="00853714"/>
    <w:rsid w:val="00856433"/>
    <w:rsid w:val="00857FDA"/>
    <w:rsid w:val="0086061B"/>
    <w:rsid w:val="00863EAD"/>
    <w:rsid w:val="008640F3"/>
    <w:rsid w:val="00866AE6"/>
    <w:rsid w:val="008848F8"/>
    <w:rsid w:val="008907D3"/>
    <w:rsid w:val="008A09AD"/>
    <w:rsid w:val="008A3B94"/>
    <w:rsid w:val="008C1B9C"/>
    <w:rsid w:val="008C4053"/>
    <w:rsid w:val="008C575B"/>
    <w:rsid w:val="008C58CC"/>
    <w:rsid w:val="008C7922"/>
    <w:rsid w:val="008D0EA2"/>
    <w:rsid w:val="008D4C43"/>
    <w:rsid w:val="008D5E6B"/>
    <w:rsid w:val="008D778A"/>
    <w:rsid w:val="008E0B01"/>
    <w:rsid w:val="008E4133"/>
    <w:rsid w:val="008F26AE"/>
    <w:rsid w:val="008F7AA2"/>
    <w:rsid w:val="00902E16"/>
    <w:rsid w:val="00915464"/>
    <w:rsid w:val="00924E7C"/>
    <w:rsid w:val="00925CED"/>
    <w:rsid w:val="00934FEB"/>
    <w:rsid w:val="00943A7F"/>
    <w:rsid w:val="00950656"/>
    <w:rsid w:val="0095635D"/>
    <w:rsid w:val="0096538F"/>
    <w:rsid w:val="00974777"/>
    <w:rsid w:val="0098046F"/>
    <w:rsid w:val="00985EC2"/>
    <w:rsid w:val="00997545"/>
    <w:rsid w:val="009B1110"/>
    <w:rsid w:val="009B45CF"/>
    <w:rsid w:val="009D0F40"/>
    <w:rsid w:val="009D5215"/>
    <w:rsid w:val="009D5B5E"/>
    <w:rsid w:val="009D5EF8"/>
    <w:rsid w:val="009D64A9"/>
    <w:rsid w:val="009D7006"/>
    <w:rsid w:val="009E0CA8"/>
    <w:rsid w:val="009F15E6"/>
    <w:rsid w:val="009F67EE"/>
    <w:rsid w:val="00A00409"/>
    <w:rsid w:val="00A004CD"/>
    <w:rsid w:val="00A00F15"/>
    <w:rsid w:val="00A0795E"/>
    <w:rsid w:val="00A07C76"/>
    <w:rsid w:val="00A104EF"/>
    <w:rsid w:val="00A127CA"/>
    <w:rsid w:val="00A231A6"/>
    <w:rsid w:val="00A2414B"/>
    <w:rsid w:val="00A24591"/>
    <w:rsid w:val="00A24C8B"/>
    <w:rsid w:val="00A25400"/>
    <w:rsid w:val="00A35900"/>
    <w:rsid w:val="00A4298B"/>
    <w:rsid w:val="00A51405"/>
    <w:rsid w:val="00A51AF0"/>
    <w:rsid w:val="00A53F8B"/>
    <w:rsid w:val="00A56670"/>
    <w:rsid w:val="00A64AA6"/>
    <w:rsid w:val="00A7517A"/>
    <w:rsid w:val="00A776C1"/>
    <w:rsid w:val="00A816FD"/>
    <w:rsid w:val="00A82C70"/>
    <w:rsid w:val="00A9061A"/>
    <w:rsid w:val="00A944C1"/>
    <w:rsid w:val="00A97E40"/>
    <w:rsid w:val="00A97E8A"/>
    <w:rsid w:val="00AA7175"/>
    <w:rsid w:val="00AB7294"/>
    <w:rsid w:val="00AC1277"/>
    <w:rsid w:val="00AC37AA"/>
    <w:rsid w:val="00AD53E2"/>
    <w:rsid w:val="00AD6F65"/>
    <w:rsid w:val="00AE23AC"/>
    <w:rsid w:val="00AF0404"/>
    <w:rsid w:val="00AF2ADD"/>
    <w:rsid w:val="00AF4F31"/>
    <w:rsid w:val="00AF5433"/>
    <w:rsid w:val="00B03F68"/>
    <w:rsid w:val="00B068CE"/>
    <w:rsid w:val="00B070CE"/>
    <w:rsid w:val="00B1538B"/>
    <w:rsid w:val="00B20EF5"/>
    <w:rsid w:val="00B216C7"/>
    <w:rsid w:val="00B26788"/>
    <w:rsid w:val="00B33875"/>
    <w:rsid w:val="00B403C1"/>
    <w:rsid w:val="00B464B3"/>
    <w:rsid w:val="00B47C75"/>
    <w:rsid w:val="00B519DB"/>
    <w:rsid w:val="00B554B6"/>
    <w:rsid w:val="00B62898"/>
    <w:rsid w:val="00B66B4B"/>
    <w:rsid w:val="00B67A1C"/>
    <w:rsid w:val="00B7333E"/>
    <w:rsid w:val="00B73D87"/>
    <w:rsid w:val="00B80535"/>
    <w:rsid w:val="00B92266"/>
    <w:rsid w:val="00B93A49"/>
    <w:rsid w:val="00B94344"/>
    <w:rsid w:val="00BA0D58"/>
    <w:rsid w:val="00BA18E9"/>
    <w:rsid w:val="00BA21C6"/>
    <w:rsid w:val="00BA2A7E"/>
    <w:rsid w:val="00BA3C8E"/>
    <w:rsid w:val="00BA5C5C"/>
    <w:rsid w:val="00BA6523"/>
    <w:rsid w:val="00BB0DCB"/>
    <w:rsid w:val="00BB56DD"/>
    <w:rsid w:val="00BB6146"/>
    <w:rsid w:val="00BB75E1"/>
    <w:rsid w:val="00BC04D6"/>
    <w:rsid w:val="00BC1E07"/>
    <w:rsid w:val="00BC26F4"/>
    <w:rsid w:val="00BD41D6"/>
    <w:rsid w:val="00BD5613"/>
    <w:rsid w:val="00BF2B14"/>
    <w:rsid w:val="00C01B2E"/>
    <w:rsid w:val="00C05FB6"/>
    <w:rsid w:val="00C0671B"/>
    <w:rsid w:val="00C1219E"/>
    <w:rsid w:val="00C136CD"/>
    <w:rsid w:val="00C137C8"/>
    <w:rsid w:val="00C15B8E"/>
    <w:rsid w:val="00C16F97"/>
    <w:rsid w:val="00C2188A"/>
    <w:rsid w:val="00C265B3"/>
    <w:rsid w:val="00C36066"/>
    <w:rsid w:val="00C43AF3"/>
    <w:rsid w:val="00C52C07"/>
    <w:rsid w:val="00C60FEA"/>
    <w:rsid w:val="00C719F6"/>
    <w:rsid w:val="00C752B0"/>
    <w:rsid w:val="00C7537D"/>
    <w:rsid w:val="00C76BBC"/>
    <w:rsid w:val="00C92A0A"/>
    <w:rsid w:val="00C943ED"/>
    <w:rsid w:val="00CA3CD4"/>
    <w:rsid w:val="00CA445F"/>
    <w:rsid w:val="00CA7535"/>
    <w:rsid w:val="00CB0D15"/>
    <w:rsid w:val="00CB4F8C"/>
    <w:rsid w:val="00CC28C5"/>
    <w:rsid w:val="00CD13DD"/>
    <w:rsid w:val="00CD5046"/>
    <w:rsid w:val="00CE215E"/>
    <w:rsid w:val="00CE298C"/>
    <w:rsid w:val="00CE2EA6"/>
    <w:rsid w:val="00CE43A7"/>
    <w:rsid w:val="00CF2CC2"/>
    <w:rsid w:val="00CF6A2B"/>
    <w:rsid w:val="00D01AE6"/>
    <w:rsid w:val="00D03340"/>
    <w:rsid w:val="00D130DC"/>
    <w:rsid w:val="00D17E06"/>
    <w:rsid w:val="00D23C52"/>
    <w:rsid w:val="00D23E2D"/>
    <w:rsid w:val="00D26131"/>
    <w:rsid w:val="00D330F0"/>
    <w:rsid w:val="00D3368D"/>
    <w:rsid w:val="00D34D9B"/>
    <w:rsid w:val="00D364F6"/>
    <w:rsid w:val="00D419AF"/>
    <w:rsid w:val="00D51F71"/>
    <w:rsid w:val="00D52300"/>
    <w:rsid w:val="00D56C00"/>
    <w:rsid w:val="00D64874"/>
    <w:rsid w:val="00D74104"/>
    <w:rsid w:val="00D81968"/>
    <w:rsid w:val="00D92E6B"/>
    <w:rsid w:val="00D93176"/>
    <w:rsid w:val="00D93B73"/>
    <w:rsid w:val="00D9644F"/>
    <w:rsid w:val="00DA1127"/>
    <w:rsid w:val="00DA255B"/>
    <w:rsid w:val="00DA3F77"/>
    <w:rsid w:val="00DA5AE3"/>
    <w:rsid w:val="00DA61A6"/>
    <w:rsid w:val="00DB0E44"/>
    <w:rsid w:val="00DB7B55"/>
    <w:rsid w:val="00DC0A93"/>
    <w:rsid w:val="00DC2C1B"/>
    <w:rsid w:val="00DC773A"/>
    <w:rsid w:val="00DD47D7"/>
    <w:rsid w:val="00DE01F6"/>
    <w:rsid w:val="00DE3207"/>
    <w:rsid w:val="00DE6F3E"/>
    <w:rsid w:val="00DF4B03"/>
    <w:rsid w:val="00DF7D13"/>
    <w:rsid w:val="00E019DB"/>
    <w:rsid w:val="00E01AD3"/>
    <w:rsid w:val="00E02091"/>
    <w:rsid w:val="00E04ED8"/>
    <w:rsid w:val="00E078A6"/>
    <w:rsid w:val="00E1122C"/>
    <w:rsid w:val="00E15B9C"/>
    <w:rsid w:val="00E17F4F"/>
    <w:rsid w:val="00E22CB5"/>
    <w:rsid w:val="00E26F4B"/>
    <w:rsid w:val="00E30716"/>
    <w:rsid w:val="00E33755"/>
    <w:rsid w:val="00E377F5"/>
    <w:rsid w:val="00E47058"/>
    <w:rsid w:val="00E559EE"/>
    <w:rsid w:val="00E55F8F"/>
    <w:rsid w:val="00E90496"/>
    <w:rsid w:val="00E92C5D"/>
    <w:rsid w:val="00E9423F"/>
    <w:rsid w:val="00EA2DA6"/>
    <w:rsid w:val="00EA6810"/>
    <w:rsid w:val="00EA764F"/>
    <w:rsid w:val="00EB4C48"/>
    <w:rsid w:val="00EC745E"/>
    <w:rsid w:val="00ED6099"/>
    <w:rsid w:val="00EE7261"/>
    <w:rsid w:val="00EE7994"/>
    <w:rsid w:val="00EF13FF"/>
    <w:rsid w:val="00EF2AE7"/>
    <w:rsid w:val="00EF6115"/>
    <w:rsid w:val="00F02D9B"/>
    <w:rsid w:val="00F04573"/>
    <w:rsid w:val="00F12B09"/>
    <w:rsid w:val="00F13542"/>
    <w:rsid w:val="00F13D28"/>
    <w:rsid w:val="00F1583F"/>
    <w:rsid w:val="00F21D2A"/>
    <w:rsid w:val="00F220BF"/>
    <w:rsid w:val="00F238E7"/>
    <w:rsid w:val="00F32B2D"/>
    <w:rsid w:val="00F35587"/>
    <w:rsid w:val="00F60792"/>
    <w:rsid w:val="00F6377B"/>
    <w:rsid w:val="00F65057"/>
    <w:rsid w:val="00F65E39"/>
    <w:rsid w:val="00F702E3"/>
    <w:rsid w:val="00F7365F"/>
    <w:rsid w:val="00F77A0F"/>
    <w:rsid w:val="00F85B1A"/>
    <w:rsid w:val="00F9242F"/>
    <w:rsid w:val="00F92E9F"/>
    <w:rsid w:val="00F97C7A"/>
    <w:rsid w:val="00FC254D"/>
    <w:rsid w:val="00FD34B0"/>
    <w:rsid w:val="00FD62AE"/>
    <w:rsid w:val="00FD742D"/>
    <w:rsid w:val="00FE365D"/>
    <w:rsid w:val="00FE51D2"/>
    <w:rsid w:val="00FE70DC"/>
    <w:rsid w:val="00FF160A"/>
    <w:rsid w:val="00FF4057"/>
    <w:rsid w:val="00FF5F6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6147"/>
  <w15:docId w15:val="{6A21396E-C468-4B6C-BD37-1E762029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2D"/>
    <w:pPr>
      <w:spacing w:after="0"/>
    </w:pPr>
  </w:style>
  <w:style w:type="paragraph" w:styleId="Heading1">
    <w:name w:val="heading 1"/>
    <w:basedOn w:val="Normal"/>
    <w:next w:val="Normal"/>
    <w:link w:val="Heading1Char"/>
    <w:uiPriority w:val="9"/>
    <w:qFormat/>
    <w:rsid w:val="00D23E2D"/>
    <w:pPr>
      <w:keepNext/>
      <w:keepLines/>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D23E2D"/>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CB5"/>
    <w:pPr>
      <w:ind w:left="720"/>
      <w:contextualSpacing/>
    </w:pPr>
  </w:style>
  <w:style w:type="table" w:styleId="TableGrid">
    <w:name w:val="Table Grid"/>
    <w:basedOn w:val="TableNormal"/>
    <w:uiPriority w:val="39"/>
    <w:rsid w:val="00DF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E2D"/>
    <w:rPr>
      <w:color w:val="0563C1" w:themeColor="hyperlink"/>
      <w:u w:val="single"/>
    </w:rPr>
  </w:style>
  <w:style w:type="paragraph" w:styleId="Title">
    <w:name w:val="Title"/>
    <w:basedOn w:val="Normal"/>
    <w:next w:val="Normal"/>
    <w:link w:val="TitleChar"/>
    <w:uiPriority w:val="10"/>
    <w:qFormat/>
    <w:rsid w:val="00D23E2D"/>
    <w:pPr>
      <w:spacing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D23E2D"/>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D23E2D"/>
    <w:rPr>
      <w:rFonts w:eastAsiaTheme="majorEastAsia" w:cstheme="majorBidi"/>
      <w:b/>
      <w:szCs w:val="32"/>
      <w:u w:val="single"/>
    </w:rPr>
  </w:style>
  <w:style w:type="character" w:customStyle="1" w:styleId="Heading2Char">
    <w:name w:val="Heading 2 Char"/>
    <w:basedOn w:val="DefaultParagraphFont"/>
    <w:link w:val="Heading2"/>
    <w:uiPriority w:val="9"/>
    <w:rsid w:val="00D23E2D"/>
    <w:rPr>
      <w:rFonts w:eastAsiaTheme="majorEastAsia" w:cstheme="majorBidi"/>
      <w:b/>
      <w:szCs w:val="26"/>
    </w:rPr>
  </w:style>
  <w:style w:type="paragraph" w:styleId="BalloonText">
    <w:name w:val="Balloon Text"/>
    <w:basedOn w:val="Normal"/>
    <w:link w:val="BalloonTextChar"/>
    <w:uiPriority w:val="99"/>
    <w:semiHidden/>
    <w:unhideWhenUsed/>
    <w:rsid w:val="005B61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1B1"/>
    <w:rPr>
      <w:rFonts w:ascii="Segoe UI" w:hAnsi="Segoe UI" w:cs="Segoe UI"/>
      <w:sz w:val="18"/>
      <w:szCs w:val="18"/>
    </w:rPr>
  </w:style>
  <w:style w:type="character" w:styleId="PlaceholderText">
    <w:name w:val="Placeholder Text"/>
    <w:basedOn w:val="DefaultParagraphFont"/>
    <w:uiPriority w:val="99"/>
    <w:semiHidden/>
    <w:rsid w:val="007B5EB6"/>
    <w:rPr>
      <w:color w:val="808080"/>
    </w:rPr>
  </w:style>
  <w:style w:type="paragraph" w:styleId="Revision">
    <w:name w:val="Revision"/>
    <w:hidden/>
    <w:uiPriority w:val="99"/>
    <w:semiHidden/>
    <w:rsid w:val="000E1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D415-67EC-401A-908A-D2075E39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6787</Words>
  <Characters>38688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Edifor</dc:creator>
  <cp:keywords/>
  <dc:description/>
  <cp:lastModifiedBy>Saeyeon Roh</cp:lastModifiedBy>
  <cp:revision>5</cp:revision>
  <cp:lastPrinted>2018-06-22T15:02:00Z</cp:lastPrinted>
  <dcterms:created xsi:type="dcterms:W3CDTF">2018-07-12T14:34:00Z</dcterms:created>
  <dcterms:modified xsi:type="dcterms:W3CDTF">2018-07-12T14:38:00Z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133283a6-ed12-3574-8319-c17c5c411cd4</vt:lpwstr>
  </property>
  <property fmtid="{D5CDD505-2E9C-101B-9397-08002B2CF9AE}" pid="24" name="Mendeley Citation Style_1">
    <vt:lpwstr>http://www.zotero.org/styles/apa</vt:lpwstr>
  </property>
</Properties>
</file>