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3E598" w14:textId="77777777" w:rsidR="00C7798C" w:rsidRPr="00D52373" w:rsidRDefault="00C7798C" w:rsidP="00C7798C">
      <w:pPr>
        <w:jc w:val="both"/>
        <w:rPr>
          <w:rFonts w:cstheme="minorHAnsi"/>
          <w:b/>
          <w:sz w:val="28"/>
          <w:szCs w:val="28"/>
        </w:rPr>
      </w:pPr>
      <w:r w:rsidRPr="00D52373">
        <w:rPr>
          <w:rFonts w:cstheme="minorHAnsi"/>
          <w:b/>
          <w:sz w:val="28"/>
          <w:szCs w:val="28"/>
        </w:rPr>
        <w:t>H</w:t>
      </w:r>
      <w:r>
        <w:rPr>
          <w:rFonts w:cstheme="minorHAnsi"/>
          <w:b/>
          <w:sz w:val="28"/>
          <w:szCs w:val="28"/>
        </w:rPr>
        <w:t>OW CORRECT WERE THEY?</w:t>
      </w:r>
      <w:r w:rsidRPr="00D52373">
        <w:rPr>
          <w:rFonts w:cstheme="minorHAnsi"/>
          <w:b/>
          <w:sz w:val="28"/>
          <w:szCs w:val="28"/>
        </w:rPr>
        <w:t xml:space="preserve"> – </w:t>
      </w:r>
      <w:r>
        <w:rPr>
          <w:rFonts w:cstheme="minorHAnsi"/>
          <w:b/>
          <w:sz w:val="28"/>
          <w:szCs w:val="28"/>
        </w:rPr>
        <w:t>A COMPARISON OF LOGISTICS/SUPPLY CHAIN PRACTITIONER AND EDUCATOR VIEWS OF NEAR-TERM OIL PRICE WITH THE ACTUAL OIL PRICE</w:t>
      </w:r>
    </w:p>
    <w:p w14:paraId="196BC6D2" w14:textId="77777777" w:rsidR="00C7798C" w:rsidRPr="00D26378" w:rsidRDefault="00C7798C" w:rsidP="00C7798C">
      <w:pPr>
        <w:jc w:val="both"/>
        <w:rPr>
          <w:rFonts w:cstheme="minorHAnsi"/>
          <w:i/>
          <w:sz w:val="14"/>
        </w:rPr>
      </w:pPr>
    </w:p>
    <w:p w14:paraId="56B72E85" w14:textId="77777777" w:rsidR="00C7798C" w:rsidRPr="00D52373" w:rsidRDefault="00C7798C" w:rsidP="00C7798C">
      <w:pPr>
        <w:jc w:val="both"/>
        <w:rPr>
          <w:rFonts w:cstheme="minorHAnsi"/>
          <w:b/>
        </w:rPr>
      </w:pPr>
      <w:proofErr w:type="spellStart"/>
      <w:r w:rsidRPr="00D52373">
        <w:rPr>
          <w:rFonts w:cstheme="minorHAnsi"/>
          <w:b/>
          <w:i/>
        </w:rPr>
        <w:t>Yongmei</w:t>
      </w:r>
      <w:proofErr w:type="spellEnd"/>
      <w:r w:rsidRPr="00D52373">
        <w:rPr>
          <w:rFonts w:cstheme="minorHAnsi"/>
          <w:b/>
          <w:i/>
        </w:rPr>
        <w:t xml:space="preserve"> Bentley</w:t>
      </w:r>
      <w:r w:rsidRPr="00D52373">
        <w:rPr>
          <w:rFonts w:cstheme="minorHAnsi"/>
          <w:b/>
          <w:i/>
          <w:vertAlign w:val="superscript"/>
        </w:rPr>
        <w:t>1</w:t>
      </w:r>
      <w:r w:rsidRPr="00D52373">
        <w:rPr>
          <w:rFonts w:cstheme="minorHAnsi"/>
          <w:b/>
          <w:i/>
        </w:rPr>
        <w:t xml:space="preserve">, </w:t>
      </w:r>
      <w:proofErr w:type="spellStart"/>
      <w:r w:rsidRPr="00D52373">
        <w:rPr>
          <w:rFonts w:cstheme="minorHAnsi"/>
          <w:b/>
          <w:i/>
        </w:rPr>
        <w:t>Guangming</w:t>
      </w:r>
      <w:proofErr w:type="spellEnd"/>
      <w:r w:rsidRPr="00D52373">
        <w:rPr>
          <w:rFonts w:cstheme="minorHAnsi"/>
          <w:b/>
          <w:i/>
        </w:rPr>
        <w:t xml:space="preserve"> Cao</w:t>
      </w:r>
      <w:r w:rsidRPr="00D52373">
        <w:rPr>
          <w:rFonts w:cstheme="minorHAnsi"/>
          <w:b/>
          <w:i/>
          <w:vertAlign w:val="superscript"/>
        </w:rPr>
        <w:t>1</w:t>
      </w:r>
      <w:r w:rsidRPr="00D52373">
        <w:rPr>
          <w:rFonts w:cstheme="minorHAnsi"/>
          <w:b/>
          <w:i/>
        </w:rPr>
        <w:t xml:space="preserve">, </w:t>
      </w:r>
      <w:proofErr w:type="spellStart"/>
      <w:r w:rsidRPr="00D52373">
        <w:rPr>
          <w:rFonts w:cstheme="minorHAnsi"/>
          <w:b/>
          <w:i/>
        </w:rPr>
        <w:t>Ramakrishnan</w:t>
      </w:r>
      <w:proofErr w:type="spellEnd"/>
      <w:r w:rsidRPr="00D52373">
        <w:rPr>
          <w:rFonts w:cstheme="minorHAnsi"/>
          <w:b/>
          <w:i/>
        </w:rPr>
        <w:t xml:space="preserve"> Ramanathan</w:t>
      </w:r>
      <w:r w:rsidRPr="00D52373">
        <w:rPr>
          <w:rFonts w:cstheme="minorHAnsi"/>
          <w:b/>
          <w:i/>
          <w:vertAlign w:val="superscript"/>
        </w:rPr>
        <w:t>1</w:t>
      </w:r>
      <w:r w:rsidRPr="00D52373">
        <w:rPr>
          <w:rFonts w:cstheme="minorHAnsi"/>
          <w:b/>
          <w:i/>
        </w:rPr>
        <w:t xml:space="preserve"> and </w:t>
      </w:r>
      <w:r w:rsidRPr="00D52373">
        <w:rPr>
          <w:rFonts w:cstheme="minorHAnsi"/>
          <w:b/>
        </w:rPr>
        <w:t>Roger Bentley</w:t>
      </w:r>
      <w:r w:rsidRPr="00D52373">
        <w:rPr>
          <w:rFonts w:cstheme="minorHAnsi"/>
          <w:b/>
          <w:vertAlign w:val="superscript"/>
        </w:rPr>
        <w:t>2</w:t>
      </w:r>
    </w:p>
    <w:p w14:paraId="4C80820D" w14:textId="77777777" w:rsidR="00C7798C" w:rsidRDefault="00C7798C" w:rsidP="00C7798C">
      <w:pPr>
        <w:jc w:val="both"/>
        <w:rPr>
          <w:rFonts w:cstheme="minorHAnsi"/>
          <w:i/>
        </w:rPr>
      </w:pPr>
      <w:r w:rsidRPr="00D52373">
        <w:rPr>
          <w:rFonts w:cstheme="minorHAnsi"/>
          <w:i/>
          <w:vertAlign w:val="superscript"/>
        </w:rPr>
        <w:t>1</w:t>
      </w:r>
      <w:r w:rsidRPr="00D52373">
        <w:rPr>
          <w:rFonts w:cstheme="minorHAnsi"/>
          <w:i/>
        </w:rPr>
        <w:t>University of Bedfordshire</w:t>
      </w:r>
      <w:r>
        <w:rPr>
          <w:rFonts w:cstheme="minorHAnsi"/>
          <w:i/>
        </w:rPr>
        <w:t>, Luton, UK</w:t>
      </w:r>
    </w:p>
    <w:p w14:paraId="790A0F7A" w14:textId="77777777" w:rsidR="00C7798C" w:rsidRPr="00D52373" w:rsidRDefault="00C7798C" w:rsidP="00C7798C">
      <w:pPr>
        <w:jc w:val="both"/>
        <w:rPr>
          <w:rFonts w:cstheme="minorHAnsi"/>
          <w:i/>
        </w:rPr>
      </w:pPr>
      <w:r w:rsidRPr="00D52373">
        <w:rPr>
          <w:rFonts w:cstheme="minorHAnsi"/>
          <w:i/>
          <w:vertAlign w:val="superscript"/>
        </w:rPr>
        <w:t>2</w:t>
      </w:r>
      <w:r w:rsidRPr="00D52373">
        <w:rPr>
          <w:rFonts w:cstheme="minorHAnsi"/>
          <w:i/>
        </w:rPr>
        <w:t>Petroleum Analysis Centre, Ireland</w:t>
      </w:r>
    </w:p>
    <w:p w14:paraId="14B72FBD" w14:textId="77777777" w:rsidR="000D5981" w:rsidRPr="00D26378" w:rsidRDefault="000D5981" w:rsidP="00A20E38">
      <w:pPr>
        <w:jc w:val="both"/>
        <w:rPr>
          <w:rFonts w:cs="Times New Roman"/>
          <w:b/>
          <w:color w:val="000000" w:themeColor="text1"/>
          <w:sz w:val="14"/>
        </w:rPr>
      </w:pPr>
    </w:p>
    <w:p w14:paraId="5B6711B2" w14:textId="34663976" w:rsidR="004E746F" w:rsidRPr="00C7798C" w:rsidRDefault="004E746F" w:rsidP="00C7798C">
      <w:pPr>
        <w:pStyle w:val="ListParagraph"/>
        <w:numPr>
          <w:ilvl w:val="0"/>
          <w:numId w:val="41"/>
        </w:numPr>
        <w:ind w:left="284" w:hanging="284"/>
        <w:jc w:val="both"/>
        <w:rPr>
          <w:rFonts w:cs="Times New Roman"/>
          <w:b/>
          <w:color w:val="000000" w:themeColor="text1"/>
          <w:u w:val="single"/>
        </w:rPr>
      </w:pPr>
      <w:r w:rsidRPr="00C7798C">
        <w:rPr>
          <w:rFonts w:cs="Times New Roman"/>
          <w:b/>
          <w:color w:val="000000" w:themeColor="text1"/>
          <w:u w:val="single"/>
        </w:rPr>
        <w:t>Introduction</w:t>
      </w:r>
    </w:p>
    <w:p w14:paraId="012B2F3A" w14:textId="51380E7C" w:rsidR="004E746F" w:rsidRDefault="004E746F" w:rsidP="00A20E38">
      <w:pPr>
        <w:jc w:val="both"/>
        <w:rPr>
          <w:rFonts w:cs="Times New Roman"/>
          <w:color w:val="000000" w:themeColor="text1"/>
        </w:rPr>
      </w:pPr>
      <w:r w:rsidRPr="00826E36">
        <w:rPr>
          <w:rFonts w:cs="Times New Roman"/>
          <w:color w:val="000000" w:themeColor="text1"/>
        </w:rPr>
        <w:t xml:space="preserve">This research focusses on the impact of oil price on the logistics and supply chain (SC) industry, and initially examined two research questions: </w:t>
      </w:r>
    </w:p>
    <w:p w14:paraId="6E909BA9" w14:textId="77777777" w:rsidR="00C7798C" w:rsidRPr="00D26378" w:rsidRDefault="00C7798C" w:rsidP="00A20E38">
      <w:pPr>
        <w:jc w:val="both"/>
        <w:rPr>
          <w:rFonts w:cs="Times New Roman"/>
          <w:color w:val="000000" w:themeColor="text1"/>
          <w:sz w:val="14"/>
        </w:rPr>
      </w:pPr>
    </w:p>
    <w:p w14:paraId="54B8796E" w14:textId="150597FC" w:rsidR="00C7798C" w:rsidRPr="00D021A9" w:rsidRDefault="004E746F" w:rsidP="00D021A9">
      <w:pPr>
        <w:pStyle w:val="ListParagraph"/>
        <w:numPr>
          <w:ilvl w:val="0"/>
          <w:numId w:val="38"/>
        </w:numPr>
        <w:jc w:val="both"/>
        <w:rPr>
          <w:rFonts w:cs="Times New Roman"/>
          <w:color w:val="000000" w:themeColor="text1"/>
        </w:rPr>
      </w:pPr>
      <w:r w:rsidRPr="00D754D9">
        <w:rPr>
          <w:rFonts w:cs="Times New Roman"/>
          <w:color w:val="000000" w:themeColor="text1"/>
        </w:rPr>
        <w:t>What have been views of logistics and SC managers, and those that teach these disciplines, of the impact</w:t>
      </w:r>
      <w:r w:rsidR="007D234F" w:rsidRPr="00D754D9">
        <w:rPr>
          <w:rFonts w:cs="Times New Roman"/>
          <w:color w:val="000000" w:themeColor="text1"/>
        </w:rPr>
        <w:t xml:space="preserve"> of the </w:t>
      </w:r>
      <w:r w:rsidRPr="00D754D9">
        <w:rPr>
          <w:rFonts w:cs="Times New Roman"/>
          <w:color w:val="000000" w:themeColor="text1"/>
        </w:rPr>
        <w:t>fall in oil price, from greater than $80/bbl for nearly all of 2007 to 2014 (and around $120/bbl for a considerable part of this period</w:t>
      </w:r>
      <w:r w:rsidR="00F26E4F" w:rsidRPr="00D754D9">
        <w:rPr>
          <w:rFonts w:cs="Times New Roman"/>
          <w:color w:val="000000" w:themeColor="text1"/>
        </w:rPr>
        <w:t>!</w:t>
      </w:r>
      <w:r w:rsidRPr="00D754D9">
        <w:rPr>
          <w:rFonts w:cs="Times New Roman"/>
          <w:color w:val="000000" w:themeColor="text1"/>
        </w:rPr>
        <w:t xml:space="preserve">), down to around $35/bbl at the start of this research, and </w:t>
      </w:r>
      <w:r w:rsidR="007D234F" w:rsidRPr="00D754D9">
        <w:rPr>
          <w:rFonts w:cs="Times New Roman"/>
          <w:color w:val="000000" w:themeColor="text1"/>
        </w:rPr>
        <w:t>subsequent increase up to ~$60/bbl at the last survey date</w:t>
      </w:r>
      <w:r w:rsidR="00FF27B9" w:rsidRPr="00D754D9">
        <w:rPr>
          <w:rFonts w:cs="Times New Roman"/>
          <w:color w:val="000000" w:themeColor="text1"/>
        </w:rPr>
        <w:t>?</w:t>
      </w:r>
      <w:r w:rsidR="007D234F" w:rsidRPr="00D754D9">
        <w:rPr>
          <w:rFonts w:cs="Times New Roman"/>
          <w:color w:val="000000" w:themeColor="text1"/>
        </w:rPr>
        <w:t xml:space="preserve"> (</w:t>
      </w:r>
      <w:r w:rsidR="00FF27B9" w:rsidRPr="00D754D9">
        <w:rPr>
          <w:rFonts w:cs="Times New Roman"/>
          <w:color w:val="000000" w:themeColor="text1"/>
        </w:rPr>
        <w:t>A</w:t>
      </w:r>
      <w:r w:rsidR="00BC41AB" w:rsidRPr="00D754D9">
        <w:rPr>
          <w:rFonts w:cs="Times New Roman"/>
          <w:color w:val="000000" w:themeColor="text1"/>
        </w:rPr>
        <w:t>nd</w:t>
      </w:r>
      <w:r w:rsidR="00642CE6" w:rsidRPr="00D754D9">
        <w:rPr>
          <w:rFonts w:cs="Times New Roman"/>
          <w:color w:val="000000" w:themeColor="text1"/>
        </w:rPr>
        <w:t xml:space="preserve"> with this price</w:t>
      </w:r>
      <w:r w:rsidR="00BC41AB" w:rsidRPr="00D754D9">
        <w:rPr>
          <w:rFonts w:cs="Times New Roman"/>
          <w:color w:val="000000" w:themeColor="text1"/>
        </w:rPr>
        <w:t xml:space="preserve">, at the time of writing in </w:t>
      </w:r>
      <w:r w:rsidR="00FF27B9" w:rsidRPr="00D754D9">
        <w:rPr>
          <w:rFonts w:cs="Times New Roman"/>
          <w:color w:val="000000" w:themeColor="text1"/>
        </w:rPr>
        <w:t xml:space="preserve">June 2018, </w:t>
      </w:r>
      <w:r w:rsidR="00BC41AB" w:rsidRPr="00D754D9">
        <w:rPr>
          <w:rFonts w:cs="Times New Roman"/>
          <w:color w:val="000000" w:themeColor="text1"/>
        </w:rPr>
        <w:t xml:space="preserve">now around </w:t>
      </w:r>
      <w:r w:rsidRPr="00D754D9">
        <w:rPr>
          <w:rFonts w:cs="Times New Roman"/>
          <w:color w:val="000000" w:themeColor="text1"/>
        </w:rPr>
        <w:t>$75/bbl</w:t>
      </w:r>
      <w:r w:rsidR="00FF27B9" w:rsidRPr="00D754D9">
        <w:rPr>
          <w:rFonts w:cs="Times New Roman"/>
          <w:color w:val="000000" w:themeColor="text1"/>
        </w:rPr>
        <w:t>.</w:t>
      </w:r>
      <w:r w:rsidRPr="00D754D9">
        <w:rPr>
          <w:rFonts w:cs="Times New Roman"/>
          <w:color w:val="000000" w:themeColor="text1"/>
        </w:rPr>
        <w:t xml:space="preserve">) </w:t>
      </w:r>
    </w:p>
    <w:p w14:paraId="55DC29BE" w14:textId="71605148" w:rsidR="007D234F" w:rsidRPr="00D754D9" w:rsidRDefault="004E746F" w:rsidP="00936984">
      <w:pPr>
        <w:pStyle w:val="ListParagraph"/>
        <w:numPr>
          <w:ilvl w:val="0"/>
          <w:numId w:val="38"/>
        </w:numPr>
        <w:jc w:val="both"/>
        <w:rPr>
          <w:rFonts w:cs="Times New Roman"/>
          <w:color w:val="000000" w:themeColor="text1"/>
        </w:rPr>
      </w:pPr>
      <w:r w:rsidRPr="00D754D9">
        <w:rPr>
          <w:rFonts w:cs="Times New Roman"/>
          <w:color w:val="000000" w:themeColor="text1"/>
        </w:rPr>
        <w:t>Wha</w:t>
      </w:r>
      <w:r w:rsidR="00FF27B9" w:rsidRPr="00D754D9">
        <w:rPr>
          <w:rFonts w:cs="Times New Roman"/>
          <w:color w:val="000000" w:themeColor="text1"/>
        </w:rPr>
        <w:t>t did</w:t>
      </w:r>
      <w:r w:rsidRPr="00D754D9">
        <w:rPr>
          <w:rFonts w:cs="Times New Roman"/>
          <w:color w:val="000000" w:themeColor="text1"/>
        </w:rPr>
        <w:t xml:space="preserve"> these professionals expect will be the future price of oil over the near</w:t>
      </w:r>
      <w:r w:rsidR="00F26E4F" w:rsidRPr="00D754D9">
        <w:rPr>
          <w:rFonts w:cs="Times New Roman"/>
          <w:color w:val="000000" w:themeColor="text1"/>
        </w:rPr>
        <w:t xml:space="preserve"> </w:t>
      </w:r>
      <w:r w:rsidRPr="00D754D9">
        <w:rPr>
          <w:rFonts w:cs="Times New Roman"/>
          <w:color w:val="000000" w:themeColor="text1"/>
        </w:rPr>
        <w:t xml:space="preserve">and medium term, and </w:t>
      </w:r>
      <w:r w:rsidR="00FF27B9" w:rsidRPr="00D754D9">
        <w:rPr>
          <w:rFonts w:cs="Times New Roman"/>
          <w:color w:val="000000" w:themeColor="text1"/>
        </w:rPr>
        <w:t xml:space="preserve">hence </w:t>
      </w:r>
      <w:r w:rsidRPr="00D754D9">
        <w:rPr>
          <w:rFonts w:cs="Times New Roman"/>
          <w:color w:val="000000" w:themeColor="text1"/>
        </w:rPr>
        <w:t>the consequent impacts on the</w:t>
      </w:r>
      <w:r w:rsidR="00BC41AB" w:rsidRPr="00D754D9">
        <w:rPr>
          <w:rFonts w:cs="Times New Roman"/>
          <w:color w:val="000000" w:themeColor="text1"/>
        </w:rPr>
        <w:t>ir industries</w:t>
      </w:r>
      <w:r w:rsidRPr="00D754D9">
        <w:rPr>
          <w:rFonts w:cs="Times New Roman"/>
          <w:color w:val="000000" w:themeColor="text1"/>
        </w:rPr>
        <w:t xml:space="preserve">? </w:t>
      </w:r>
    </w:p>
    <w:p w14:paraId="2716441B" w14:textId="77777777" w:rsidR="007D234F" w:rsidRPr="00D26378" w:rsidRDefault="007D234F" w:rsidP="00A20E38">
      <w:pPr>
        <w:jc w:val="both"/>
        <w:rPr>
          <w:rFonts w:cs="Times New Roman"/>
          <w:color w:val="000000" w:themeColor="text1"/>
          <w:sz w:val="14"/>
        </w:rPr>
      </w:pPr>
    </w:p>
    <w:p w14:paraId="5200520C" w14:textId="71660D5F" w:rsidR="00FF27B9" w:rsidRPr="00826E36" w:rsidRDefault="00F26E4F" w:rsidP="00A20E38">
      <w:pPr>
        <w:jc w:val="both"/>
        <w:rPr>
          <w:rFonts w:cs="Times New Roman"/>
          <w:color w:val="000000" w:themeColor="text1"/>
        </w:rPr>
      </w:pPr>
      <w:r w:rsidRPr="00826E36">
        <w:rPr>
          <w:rFonts w:cs="Times New Roman"/>
          <w:color w:val="000000" w:themeColor="text1"/>
        </w:rPr>
        <w:t>To answer these questions, a semi-structured questionnaire surv</w:t>
      </w:r>
      <w:r w:rsidR="00EE643B" w:rsidRPr="00826E36">
        <w:rPr>
          <w:rFonts w:cs="Times New Roman"/>
          <w:color w:val="000000" w:themeColor="text1"/>
        </w:rPr>
        <w:t>ey was</w:t>
      </w:r>
      <w:r w:rsidRPr="00826E36">
        <w:rPr>
          <w:rFonts w:cs="Times New Roman"/>
          <w:color w:val="000000" w:themeColor="text1"/>
        </w:rPr>
        <w:t xml:space="preserve"> </w:t>
      </w:r>
      <w:r w:rsidR="00A50F02" w:rsidRPr="00826E36">
        <w:rPr>
          <w:rFonts w:cs="Times New Roman"/>
          <w:color w:val="000000" w:themeColor="text1"/>
        </w:rPr>
        <w:t xml:space="preserve">designed and </w:t>
      </w:r>
      <w:r w:rsidRPr="00826E36">
        <w:rPr>
          <w:rFonts w:cs="Times New Roman"/>
          <w:color w:val="000000" w:themeColor="text1"/>
        </w:rPr>
        <w:t xml:space="preserve">handed out </w:t>
      </w:r>
      <w:r w:rsidR="00A50F02" w:rsidRPr="00826E36">
        <w:rPr>
          <w:rFonts w:cs="Times New Roman"/>
          <w:color w:val="000000" w:themeColor="text1"/>
        </w:rPr>
        <w:t xml:space="preserve">to the target audience </w:t>
      </w:r>
      <w:r w:rsidRPr="00826E36">
        <w:rPr>
          <w:rFonts w:cs="Times New Roman"/>
          <w:color w:val="000000" w:themeColor="text1"/>
        </w:rPr>
        <w:t xml:space="preserve">by the lead author at a range </w:t>
      </w:r>
      <w:r w:rsidR="00FF27B9" w:rsidRPr="00826E36">
        <w:rPr>
          <w:rFonts w:cs="Times New Roman"/>
          <w:color w:val="000000" w:themeColor="text1"/>
        </w:rPr>
        <w:t>industry logistic and SC events</w:t>
      </w:r>
      <w:r w:rsidRPr="00826E36">
        <w:rPr>
          <w:rFonts w:cs="Times New Roman"/>
          <w:color w:val="000000" w:themeColor="text1"/>
        </w:rPr>
        <w:t xml:space="preserve"> and conferences. </w:t>
      </w:r>
      <w:r w:rsidR="00BC41AB">
        <w:rPr>
          <w:rFonts w:cs="Times New Roman"/>
          <w:color w:val="000000" w:themeColor="text1"/>
        </w:rPr>
        <w:t>The</w:t>
      </w:r>
      <w:r w:rsidR="00A50F02" w:rsidRPr="00826E36">
        <w:rPr>
          <w:rFonts w:cs="Times New Roman"/>
          <w:color w:val="000000" w:themeColor="text1"/>
        </w:rPr>
        <w:t xml:space="preserve"> audience comprised </w:t>
      </w:r>
      <w:r w:rsidR="008910D2" w:rsidRPr="00826E36">
        <w:rPr>
          <w:rFonts w:cs="Times New Roman"/>
          <w:color w:val="000000" w:themeColor="text1"/>
        </w:rPr>
        <w:t xml:space="preserve">middle and senior managers in logistics and SC companies, and in other companies where logistics and SC activities are a significant part of the total business, as well as academics </w:t>
      </w:r>
      <w:r w:rsidR="00E074F0" w:rsidRPr="00826E36">
        <w:rPr>
          <w:rFonts w:cs="Times New Roman"/>
          <w:color w:val="000000" w:themeColor="text1"/>
        </w:rPr>
        <w:t xml:space="preserve">at </w:t>
      </w:r>
      <w:r w:rsidR="00BC41AB" w:rsidRPr="00826E36">
        <w:rPr>
          <w:rFonts w:cs="Times New Roman"/>
        </w:rPr>
        <w:t>senior lecturer</w:t>
      </w:r>
      <w:r w:rsidR="00BC41AB">
        <w:rPr>
          <w:rFonts w:cs="Times New Roman"/>
        </w:rPr>
        <w:t xml:space="preserve"> level</w:t>
      </w:r>
      <w:r w:rsidR="00BC41AB" w:rsidRPr="00826E36">
        <w:rPr>
          <w:rFonts w:cs="Times New Roman"/>
        </w:rPr>
        <w:t xml:space="preserve"> and above in universities </w:t>
      </w:r>
      <w:r w:rsidR="00E074F0" w:rsidRPr="00826E36">
        <w:rPr>
          <w:rFonts w:cs="Times New Roman"/>
          <w:color w:val="000000" w:themeColor="text1"/>
        </w:rPr>
        <w:t xml:space="preserve">who teach </w:t>
      </w:r>
      <w:r w:rsidR="008910D2" w:rsidRPr="00826E36">
        <w:rPr>
          <w:rFonts w:cs="Times New Roman"/>
          <w:color w:val="000000" w:themeColor="text1"/>
        </w:rPr>
        <w:t>logistics and SC</w:t>
      </w:r>
      <w:r w:rsidR="00E074F0" w:rsidRPr="00826E36">
        <w:rPr>
          <w:rFonts w:cs="Times New Roman"/>
          <w:color w:val="000000" w:themeColor="text1"/>
        </w:rPr>
        <w:t xml:space="preserve"> topics</w:t>
      </w:r>
      <w:r w:rsidR="008910D2" w:rsidRPr="00826E36">
        <w:rPr>
          <w:rFonts w:cs="Times New Roman"/>
          <w:color w:val="000000" w:themeColor="text1"/>
        </w:rPr>
        <w:t xml:space="preserve">. </w:t>
      </w:r>
      <w:r w:rsidRPr="00826E36">
        <w:rPr>
          <w:rFonts w:cs="Times New Roman"/>
          <w:color w:val="000000" w:themeColor="text1"/>
        </w:rPr>
        <w:t>Three</w:t>
      </w:r>
      <w:r w:rsidR="00E074F0" w:rsidRPr="00826E36">
        <w:rPr>
          <w:rFonts w:cs="Times New Roman"/>
          <w:color w:val="000000" w:themeColor="text1"/>
        </w:rPr>
        <w:t xml:space="preserve"> </w:t>
      </w:r>
      <w:r w:rsidRPr="00826E36">
        <w:rPr>
          <w:rFonts w:cs="Times New Roman"/>
          <w:color w:val="000000" w:themeColor="text1"/>
        </w:rPr>
        <w:t>rounds of survey were conducted</w:t>
      </w:r>
      <w:r w:rsidR="00A50F02" w:rsidRPr="00826E36">
        <w:rPr>
          <w:rFonts w:cs="Times New Roman"/>
          <w:color w:val="000000" w:themeColor="text1"/>
        </w:rPr>
        <w:t>,</w:t>
      </w:r>
      <w:r w:rsidR="00FF27B9" w:rsidRPr="00826E36">
        <w:rPr>
          <w:rFonts w:cs="Times New Roman"/>
          <w:color w:val="000000" w:themeColor="text1"/>
        </w:rPr>
        <w:t xml:space="preserve"> </w:t>
      </w:r>
      <w:r w:rsidR="00E074F0" w:rsidRPr="00826E36">
        <w:rPr>
          <w:rFonts w:cs="Times New Roman"/>
          <w:color w:val="000000" w:themeColor="text1"/>
        </w:rPr>
        <w:t xml:space="preserve">covering </w:t>
      </w:r>
      <w:r w:rsidR="00EC3AAD" w:rsidRPr="00826E36">
        <w:rPr>
          <w:rFonts w:cs="Times New Roman"/>
          <w:color w:val="000000" w:themeColor="text1"/>
        </w:rPr>
        <w:t xml:space="preserve">the period </w:t>
      </w:r>
      <w:r w:rsidR="00FF27B9" w:rsidRPr="00826E36">
        <w:rPr>
          <w:rFonts w:cs="Times New Roman"/>
          <w:color w:val="000000" w:themeColor="text1"/>
        </w:rPr>
        <w:t xml:space="preserve">from February 2016 to the end of 2017, with a total of </w:t>
      </w:r>
      <w:r w:rsidR="00E074F0" w:rsidRPr="00826E36">
        <w:rPr>
          <w:rFonts w:cs="Times New Roman"/>
          <w:color w:val="000000" w:themeColor="text1"/>
        </w:rPr>
        <w:t xml:space="preserve">70 valid responses </w:t>
      </w:r>
      <w:r w:rsidR="00EC3AAD" w:rsidRPr="00826E36">
        <w:rPr>
          <w:rFonts w:cs="Times New Roman"/>
          <w:color w:val="000000" w:themeColor="text1"/>
        </w:rPr>
        <w:t xml:space="preserve">being </w:t>
      </w:r>
      <w:r w:rsidR="00FF27B9" w:rsidRPr="00826E36">
        <w:rPr>
          <w:rFonts w:cs="Times New Roman"/>
          <w:color w:val="000000" w:themeColor="text1"/>
        </w:rPr>
        <w:t>analysed.</w:t>
      </w:r>
    </w:p>
    <w:p w14:paraId="3BE5AAE3" w14:textId="77777777" w:rsidR="00F26E4F" w:rsidRPr="00D26378" w:rsidRDefault="00F26E4F" w:rsidP="00A20E38">
      <w:pPr>
        <w:jc w:val="both"/>
        <w:rPr>
          <w:rFonts w:cs="Times New Roman"/>
          <w:color w:val="000000" w:themeColor="text1"/>
          <w:sz w:val="14"/>
        </w:rPr>
      </w:pPr>
    </w:p>
    <w:p w14:paraId="1C1EB8AD" w14:textId="271A46CD" w:rsidR="004E746F" w:rsidRPr="00826E36" w:rsidRDefault="00FF27B9" w:rsidP="004A73C3">
      <w:pPr>
        <w:jc w:val="both"/>
        <w:rPr>
          <w:rFonts w:cs="Times New Roman"/>
          <w:color w:val="000000" w:themeColor="text1"/>
        </w:rPr>
      </w:pPr>
      <w:r w:rsidRPr="00826E36">
        <w:rPr>
          <w:rFonts w:cs="Times New Roman"/>
          <w:color w:val="000000" w:themeColor="text1"/>
        </w:rPr>
        <w:t xml:space="preserve">Given that time has </w:t>
      </w:r>
      <w:r w:rsidR="00EB591E" w:rsidRPr="00826E36">
        <w:rPr>
          <w:rFonts w:cs="Times New Roman"/>
          <w:color w:val="000000" w:themeColor="text1"/>
        </w:rPr>
        <w:t xml:space="preserve">now </w:t>
      </w:r>
      <w:r w:rsidR="005051C6">
        <w:rPr>
          <w:rFonts w:cs="Times New Roman"/>
          <w:color w:val="000000" w:themeColor="text1"/>
        </w:rPr>
        <w:t xml:space="preserve">passed, and current and recent actual oil prices </w:t>
      </w:r>
      <w:r w:rsidR="00EB591E" w:rsidRPr="00826E36">
        <w:rPr>
          <w:rFonts w:cs="Times New Roman"/>
          <w:color w:val="000000" w:themeColor="text1"/>
        </w:rPr>
        <w:t>are</w:t>
      </w:r>
      <w:r w:rsidR="00EC3AAD" w:rsidRPr="00826E36">
        <w:rPr>
          <w:rFonts w:cs="Times New Roman"/>
          <w:color w:val="000000" w:themeColor="text1"/>
        </w:rPr>
        <w:t xml:space="preserve"> </w:t>
      </w:r>
      <w:r w:rsidR="00A50F02" w:rsidRPr="00826E36">
        <w:rPr>
          <w:rFonts w:cs="Times New Roman"/>
          <w:color w:val="000000" w:themeColor="text1"/>
        </w:rPr>
        <w:t>known, in th</w:t>
      </w:r>
      <w:r w:rsidR="005051C6">
        <w:rPr>
          <w:rFonts w:cs="Times New Roman"/>
          <w:color w:val="000000" w:themeColor="text1"/>
        </w:rPr>
        <w:t>is</w:t>
      </w:r>
      <w:r w:rsidRPr="00826E36">
        <w:rPr>
          <w:rFonts w:cs="Times New Roman"/>
          <w:color w:val="000000" w:themeColor="text1"/>
        </w:rPr>
        <w:t xml:space="preserve"> </w:t>
      </w:r>
      <w:r w:rsidR="00F26E4F" w:rsidRPr="00826E36">
        <w:rPr>
          <w:rFonts w:cs="Times New Roman"/>
          <w:color w:val="000000" w:themeColor="text1"/>
        </w:rPr>
        <w:t>paper</w:t>
      </w:r>
      <w:r w:rsidRPr="00826E36">
        <w:rPr>
          <w:rFonts w:cs="Times New Roman"/>
          <w:color w:val="000000" w:themeColor="text1"/>
        </w:rPr>
        <w:t xml:space="preserve"> we look at how well the groups surveyed were able to forecast the price of oil, and hence </w:t>
      </w:r>
      <w:r w:rsidR="00E074F0" w:rsidRPr="00826E36">
        <w:rPr>
          <w:rFonts w:cs="Times New Roman"/>
          <w:color w:val="000000" w:themeColor="text1"/>
        </w:rPr>
        <w:t xml:space="preserve">to </w:t>
      </w:r>
      <w:r w:rsidRPr="00826E36">
        <w:rPr>
          <w:rFonts w:cs="Times New Roman"/>
          <w:color w:val="000000" w:themeColor="text1"/>
        </w:rPr>
        <w:t xml:space="preserve">expect the impacts on the </w:t>
      </w:r>
      <w:r w:rsidR="00E074F0" w:rsidRPr="00826E36">
        <w:rPr>
          <w:rFonts w:cs="Times New Roman"/>
          <w:color w:val="000000" w:themeColor="text1"/>
        </w:rPr>
        <w:t>logistics and SC industries</w:t>
      </w:r>
      <w:r w:rsidR="00A50F02" w:rsidRPr="00826E36">
        <w:rPr>
          <w:rFonts w:cs="Times New Roman"/>
          <w:color w:val="000000" w:themeColor="text1"/>
        </w:rPr>
        <w:t xml:space="preserve"> of the</w:t>
      </w:r>
      <w:r w:rsidRPr="00826E36">
        <w:rPr>
          <w:rFonts w:cs="Times New Roman"/>
          <w:color w:val="000000" w:themeColor="text1"/>
        </w:rPr>
        <w:t xml:space="preserve"> </w:t>
      </w:r>
      <w:r w:rsidR="00EC3AAD" w:rsidRPr="00826E36">
        <w:rPr>
          <w:rFonts w:cs="Times New Roman"/>
          <w:color w:val="000000" w:themeColor="text1"/>
        </w:rPr>
        <w:t xml:space="preserve">oil price </w:t>
      </w:r>
      <w:r w:rsidRPr="00826E36">
        <w:rPr>
          <w:rFonts w:cs="Times New Roman"/>
          <w:color w:val="000000" w:themeColor="text1"/>
        </w:rPr>
        <w:t>changes that have re</w:t>
      </w:r>
      <w:r w:rsidR="00125ADC">
        <w:rPr>
          <w:rFonts w:cs="Times New Roman"/>
          <w:color w:val="000000" w:themeColor="text1"/>
        </w:rPr>
        <w:t>s</w:t>
      </w:r>
      <w:r w:rsidRPr="00826E36">
        <w:rPr>
          <w:rFonts w:cs="Times New Roman"/>
          <w:color w:val="000000" w:themeColor="text1"/>
        </w:rPr>
        <w:t>ulted.</w:t>
      </w:r>
      <w:r w:rsidR="00F26E4F" w:rsidRPr="00826E36">
        <w:rPr>
          <w:rFonts w:cs="Times New Roman"/>
          <w:color w:val="000000" w:themeColor="text1"/>
        </w:rPr>
        <w:t xml:space="preserve"> </w:t>
      </w:r>
      <w:r w:rsidR="00E074F0" w:rsidRPr="00826E36">
        <w:rPr>
          <w:rFonts w:cs="Times New Roman"/>
          <w:color w:val="000000" w:themeColor="text1"/>
        </w:rPr>
        <w:t xml:space="preserve">Note </w:t>
      </w:r>
      <w:r w:rsidR="00BC41AB">
        <w:rPr>
          <w:rFonts w:cs="Times New Roman"/>
          <w:color w:val="000000" w:themeColor="text1"/>
        </w:rPr>
        <w:t xml:space="preserve">that </w:t>
      </w:r>
      <w:r w:rsidR="004E746F" w:rsidRPr="00826E36">
        <w:rPr>
          <w:rFonts w:cs="Times New Roman"/>
          <w:color w:val="000000" w:themeColor="text1"/>
        </w:rPr>
        <w:t xml:space="preserve">a widely-held view among </w:t>
      </w:r>
      <w:r w:rsidR="00E074F0" w:rsidRPr="00826E36">
        <w:rPr>
          <w:rFonts w:cs="Times New Roman"/>
          <w:color w:val="000000" w:themeColor="text1"/>
        </w:rPr>
        <w:t xml:space="preserve">many </w:t>
      </w:r>
      <w:r w:rsidR="004E746F" w:rsidRPr="00826E36">
        <w:rPr>
          <w:rFonts w:cs="Times New Roman"/>
          <w:color w:val="000000" w:themeColor="text1"/>
        </w:rPr>
        <w:t>analysts</w:t>
      </w:r>
      <w:r w:rsidR="00E074F0" w:rsidRPr="00826E36">
        <w:rPr>
          <w:rFonts w:cs="Times New Roman"/>
          <w:color w:val="000000" w:themeColor="text1"/>
        </w:rPr>
        <w:t>, not only in the logistics and SC industries</w:t>
      </w:r>
      <w:r w:rsidR="00EC3AAD" w:rsidRPr="00826E36">
        <w:rPr>
          <w:rFonts w:cs="Times New Roman"/>
          <w:color w:val="000000" w:themeColor="text1"/>
        </w:rPr>
        <w:t>,</w:t>
      </w:r>
      <w:r w:rsidR="004E746F" w:rsidRPr="00826E36">
        <w:rPr>
          <w:rFonts w:cs="Times New Roman"/>
          <w:color w:val="000000" w:themeColor="text1"/>
        </w:rPr>
        <w:t xml:space="preserve"> is </w:t>
      </w:r>
      <w:r w:rsidR="00EC3AAD" w:rsidRPr="00826E36">
        <w:rPr>
          <w:rFonts w:cs="Times New Roman"/>
          <w:color w:val="000000" w:themeColor="text1"/>
        </w:rPr>
        <w:t xml:space="preserve">that </w:t>
      </w:r>
      <w:r w:rsidR="00BC41AB">
        <w:rPr>
          <w:rFonts w:cs="Times New Roman"/>
          <w:color w:val="000000" w:themeColor="text1"/>
        </w:rPr>
        <w:t xml:space="preserve">the </w:t>
      </w:r>
      <w:r w:rsidR="00EC3AAD" w:rsidRPr="00826E36">
        <w:rPr>
          <w:rFonts w:cs="Times New Roman"/>
          <w:color w:val="000000" w:themeColor="text1"/>
        </w:rPr>
        <w:t xml:space="preserve">oil price </w:t>
      </w:r>
      <w:r w:rsidR="004E746F" w:rsidRPr="00826E36">
        <w:rPr>
          <w:rFonts w:cs="Times New Roman"/>
          <w:color w:val="000000" w:themeColor="text1"/>
        </w:rPr>
        <w:t>is too complex to forecast</w:t>
      </w:r>
      <w:r w:rsidR="00E074F0" w:rsidRPr="00826E36">
        <w:rPr>
          <w:rFonts w:cs="Times New Roman"/>
          <w:color w:val="000000" w:themeColor="text1"/>
        </w:rPr>
        <w:t xml:space="preserve"> reliably. T</w:t>
      </w:r>
      <w:r w:rsidR="00EB591E" w:rsidRPr="00826E36">
        <w:rPr>
          <w:rFonts w:cs="Times New Roman"/>
          <w:color w:val="000000" w:themeColor="text1"/>
        </w:rPr>
        <w:t xml:space="preserve">his view </w:t>
      </w:r>
      <w:r w:rsidR="004E746F" w:rsidRPr="00826E36">
        <w:rPr>
          <w:rFonts w:cs="Times New Roman"/>
          <w:color w:val="000000" w:themeColor="text1"/>
        </w:rPr>
        <w:t xml:space="preserve">is not well founded, and </w:t>
      </w:r>
      <w:r w:rsidR="004E746F" w:rsidRPr="00D9254F">
        <w:rPr>
          <w:rFonts w:cs="Times New Roman"/>
          <w:color w:val="000000" w:themeColor="text1"/>
        </w:rPr>
        <w:t xml:space="preserve">the </w:t>
      </w:r>
      <w:r w:rsidR="00F83BF1" w:rsidRPr="00D9254F">
        <w:rPr>
          <w:rFonts w:cs="Times New Roman"/>
          <w:color w:val="000000" w:themeColor="text1"/>
        </w:rPr>
        <w:t>Annex set</w:t>
      </w:r>
      <w:r w:rsidR="00E074F0" w:rsidRPr="00D9254F">
        <w:rPr>
          <w:rFonts w:cs="Times New Roman"/>
          <w:color w:val="000000" w:themeColor="text1"/>
        </w:rPr>
        <w:t xml:space="preserve">s </w:t>
      </w:r>
      <w:r w:rsidR="00F83BF1" w:rsidRPr="00826E36">
        <w:rPr>
          <w:rFonts w:cs="Times New Roman"/>
          <w:color w:val="000000" w:themeColor="text1"/>
        </w:rPr>
        <w:t xml:space="preserve">out the </w:t>
      </w:r>
      <w:r w:rsidR="005051C6">
        <w:rPr>
          <w:rFonts w:cs="Times New Roman"/>
          <w:color w:val="000000" w:themeColor="text1"/>
        </w:rPr>
        <w:t xml:space="preserve">fundamental </w:t>
      </w:r>
      <w:r w:rsidR="00E074F0" w:rsidRPr="00826E36">
        <w:rPr>
          <w:rFonts w:cs="Times New Roman"/>
          <w:color w:val="000000" w:themeColor="text1"/>
        </w:rPr>
        <w:t>drivers for oil price change</w:t>
      </w:r>
      <w:r w:rsidR="00BC41AB">
        <w:rPr>
          <w:rFonts w:cs="Times New Roman"/>
          <w:color w:val="000000" w:themeColor="text1"/>
        </w:rPr>
        <w:t>;</w:t>
      </w:r>
      <w:r w:rsidR="004E746F" w:rsidRPr="00826E36">
        <w:rPr>
          <w:rFonts w:cs="Times New Roman"/>
          <w:color w:val="000000" w:themeColor="text1"/>
        </w:rPr>
        <w:t xml:space="preserve"> and, </w:t>
      </w:r>
      <w:r w:rsidR="00F83BF1" w:rsidRPr="00826E36">
        <w:rPr>
          <w:rFonts w:cs="Times New Roman"/>
          <w:color w:val="000000" w:themeColor="text1"/>
        </w:rPr>
        <w:t xml:space="preserve">as importantly, </w:t>
      </w:r>
      <w:r w:rsidR="00E074F0" w:rsidRPr="00826E36">
        <w:rPr>
          <w:rFonts w:cs="Times New Roman"/>
          <w:color w:val="000000" w:themeColor="text1"/>
        </w:rPr>
        <w:t xml:space="preserve">explains </w:t>
      </w:r>
      <w:r w:rsidR="004E746F" w:rsidRPr="00826E36">
        <w:rPr>
          <w:rFonts w:cs="Times New Roman"/>
          <w:color w:val="000000" w:themeColor="text1"/>
        </w:rPr>
        <w:t xml:space="preserve">how people’s </w:t>
      </w:r>
      <w:r w:rsidR="004E746F" w:rsidRPr="00826E36">
        <w:rPr>
          <w:rFonts w:cs="Times New Roman"/>
          <w:i/>
          <w:color w:val="000000" w:themeColor="text1"/>
        </w:rPr>
        <w:t>expectations</w:t>
      </w:r>
      <w:r w:rsidR="004E746F" w:rsidRPr="00826E36">
        <w:rPr>
          <w:rFonts w:cs="Times New Roman"/>
          <w:color w:val="000000" w:themeColor="text1"/>
        </w:rPr>
        <w:t xml:space="preserve"> of </w:t>
      </w:r>
      <w:r w:rsidR="00F83BF1" w:rsidRPr="00826E36">
        <w:rPr>
          <w:rFonts w:cs="Times New Roman"/>
          <w:color w:val="000000" w:themeColor="text1"/>
        </w:rPr>
        <w:t xml:space="preserve">future </w:t>
      </w:r>
      <w:r w:rsidR="004E746F" w:rsidRPr="00826E36">
        <w:rPr>
          <w:rFonts w:cs="Times New Roman"/>
          <w:color w:val="000000" w:themeColor="text1"/>
        </w:rPr>
        <w:t>oil price</w:t>
      </w:r>
      <w:r w:rsidR="00F83BF1" w:rsidRPr="00826E36">
        <w:rPr>
          <w:rFonts w:cs="Times New Roman"/>
          <w:color w:val="000000" w:themeColor="text1"/>
        </w:rPr>
        <w:t xml:space="preserve"> </w:t>
      </w:r>
      <w:r w:rsidR="00E074F0" w:rsidRPr="00826E36">
        <w:rPr>
          <w:rFonts w:cs="Times New Roman"/>
          <w:color w:val="000000" w:themeColor="text1"/>
        </w:rPr>
        <w:t xml:space="preserve">have </w:t>
      </w:r>
      <w:r w:rsidR="004E746F" w:rsidRPr="00826E36">
        <w:rPr>
          <w:rFonts w:cs="Times New Roman"/>
          <w:color w:val="000000" w:themeColor="text1"/>
        </w:rPr>
        <w:t>evolved</w:t>
      </w:r>
      <w:r w:rsidR="00BC41AB">
        <w:rPr>
          <w:rFonts w:cs="Times New Roman"/>
          <w:color w:val="000000" w:themeColor="text1"/>
        </w:rPr>
        <w:t xml:space="preserve"> over time</w:t>
      </w:r>
      <w:r w:rsidR="004E746F" w:rsidRPr="00826E36">
        <w:rPr>
          <w:rFonts w:cs="Times New Roman"/>
          <w:color w:val="000000" w:themeColor="text1"/>
        </w:rPr>
        <w:t xml:space="preserve">. </w:t>
      </w:r>
    </w:p>
    <w:p w14:paraId="7B3AD01F" w14:textId="77777777" w:rsidR="000E7BD3" w:rsidRPr="00D26378" w:rsidRDefault="000E7BD3" w:rsidP="00A20E38">
      <w:pPr>
        <w:jc w:val="both"/>
        <w:rPr>
          <w:rFonts w:cs="Times New Roman"/>
          <w:color w:val="000000" w:themeColor="text1"/>
          <w:sz w:val="14"/>
        </w:rPr>
      </w:pPr>
    </w:p>
    <w:p w14:paraId="1A4F3611" w14:textId="2B1EABE8" w:rsidR="000E7BD3" w:rsidRPr="00826E36" w:rsidRDefault="005051C6" w:rsidP="00A20E38">
      <w:pPr>
        <w:jc w:val="both"/>
        <w:rPr>
          <w:rFonts w:cs="Times New Roman"/>
          <w:color w:val="000000" w:themeColor="text1"/>
        </w:rPr>
      </w:pPr>
      <w:r>
        <w:rPr>
          <w:rFonts w:cs="Times New Roman"/>
          <w:color w:val="000000" w:themeColor="text1"/>
        </w:rPr>
        <w:t>In this paper</w:t>
      </w:r>
      <w:r w:rsidR="000E7BD3" w:rsidRPr="00826E36">
        <w:rPr>
          <w:rFonts w:cs="Times New Roman"/>
          <w:color w:val="000000" w:themeColor="text1"/>
        </w:rPr>
        <w:t xml:space="preserve"> we include forecasts from the IEA of oil price out to 2040. These </w:t>
      </w:r>
      <w:r w:rsidR="00EB591E" w:rsidRPr="00826E36">
        <w:rPr>
          <w:rFonts w:cs="Times New Roman"/>
          <w:color w:val="000000" w:themeColor="text1"/>
        </w:rPr>
        <w:t>show that the</w:t>
      </w:r>
      <w:r w:rsidR="000E7BD3" w:rsidRPr="00826E36">
        <w:rPr>
          <w:rFonts w:cs="Times New Roman"/>
          <w:color w:val="000000" w:themeColor="text1"/>
        </w:rPr>
        <w:t xml:space="preserve"> price </w:t>
      </w:r>
      <w:r w:rsidR="00EB591E" w:rsidRPr="00826E36">
        <w:rPr>
          <w:rFonts w:cs="Times New Roman"/>
          <w:color w:val="000000" w:themeColor="text1"/>
        </w:rPr>
        <w:t xml:space="preserve">of oil </w:t>
      </w:r>
      <w:r w:rsidR="000E7BD3" w:rsidRPr="00826E36">
        <w:rPr>
          <w:rFonts w:cs="Times New Roman"/>
          <w:color w:val="000000" w:themeColor="text1"/>
        </w:rPr>
        <w:t>is expected to continue climbing</w:t>
      </w:r>
      <w:r w:rsidR="00EB591E" w:rsidRPr="00826E36">
        <w:rPr>
          <w:rFonts w:cs="Times New Roman"/>
          <w:color w:val="000000" w:themeColor="text1"/>
        </w:rPr>
        <w:t xml:space="preserve"> in real terms, to again reach </w:t>
      </w:r>
      <w:r w:rsidR="00BC41AB">
        <w:rPr>
          <w:rFonts w:cs="Times New Roman"/>
          <w:color w:val="000000" w:themeColor="text1"/>
        </w:rPr>
        <w:t xml:space="preserve">levels </w:t>
      </w:r>
      <w:r w:rsidR="000E7BD3" w:rsidRPr="00826E36">
        <w:rPr>
          <w:rFonts w:cs="Times New Roman"/>
          <w:color w:val="000000" w:themeColor="text1"/>
        </w:rPr>
        <w:t xml:space="preserve">above $120/bbl in the not too distant future. </w:t>
      </w:r>
      <w:r w:rsidR="00EB591E" w:rsidRPr="00826E36">
        <w:rPr>
          <w:rFonts w:cs="Times New Roman"/>
          <w:color w:val="000000" w:themeColor="text1"/>
        </w:rPr>
        <w:t>Such oil prices are likely to have significant impacts across all of society</w:t>
      </w:r>
      <w:r w:rsidR="00642CE6" w:rsidRPr="00642CE6">
        <w:rPr>
          <w:rFonts w:cs="Times New Roman"/>
          <w:color w:val="000000" w:themeColor="text1"/>
        </w:rPr>
        <w:t xml:space="preserve"> </w:t>
      </w:r>
      <w:r w:rsidR="00642CE6">
        <w:rPr>
          <w:rFonts w:cs="Times New Roman"/>
          <w:color w:val="000000" w:themeColor="text1"/>
        </w:rPr>
        <w:t>that need to be understood</w:t>
      </w:r>
      <w:r w:rsidR="00EB591E" w:rsidRPr="00826E36">
        <w:rPr>
          <w:rFonts w:cs="Times New Roman"/>
          <w:color w:val="000000" w:themeColor="text1"/>
        </w:rPr>
        <w:t xml:space="preserve">, including within the logistics and SC industries. </w:t>
      </w:r>
      <w:r w:rsidR="000E7BD3" w:rsidRPr="00826E36">
        <w:rPr>
          <w:rFonts w:cs="Times New Roman"/>
          <w:color w:val="000000" w:themeColor="text1"/>
        </w:rPr>
        <w:t xml:space="preserve"> </w:t>
      </w:r>
    </w:p>
    <w:p w14:paraId="78B54510" w14:textId="77777777" w:rsidR="004E746F" w:rsidRPr="00D26378" w:rsidRDefault="004E746F" w:rsidP="00A20E38">
      <w:pPr>
        <w:jc w:val="both"/>
        <w:rPr>
          <w:rFonts w:cs="Times New Roman"/>
          <w:b/>
          <w:color w:val="000000" w:themeColor="text1"/>
          <w:sz w:val="14"/>
          <w:u w:val="single"/>
        </w:rPr>
      </w:pPr>
    </w:p>
    <w:p w14:paraId="5EA94A31" w14:textId="162C6C7A" w:rsidR="004E746F" w:rsidRPr="00C7798C" w:rsidRDefault="004E746F" w:rsidP="00C7798C">
      <w:pPr>
        <w:pStyle w:val="ListParagraph"/>
        <w:numPr>
          <w:ilvl w:val="0"/>
          <w:numId w:val="41"/>
        </w:numPr>
        <w:ind w:left="284" w:hanging="284"/>
        <w:jc w:val="both"/>
        <w:rPr>
          <w:rFonts w:cs="Times New Roman"/>
          <w:b/>
          <w:color w:val="000000" w:themeColor="text1"/>
          <w:u w:val="single"/>
        </w:rPr>
      </w:pPr>
      <w:r w:rsidRPr="00C7798C">
        <w:rPr>
          <w:rFonts w:cs="Times New Roman"/>
          <w:b/>
          <w:color w:val="000000" w:themeColor="text1"/>
          <w:u w:val="single"/>
        </w:rPr>
        <w:t>Literature Review</w:t>
      </w:r>
    </w:p>
    <w:p w14:paraId="531EAB80" w14:textId="2875DE95" w:rsidR="00EA1C31" w:rsidRPr="00826E36" w:rsidRDefault="004E746F" w:rsidP="00A20E38">
      <w:pPr>
        <w:jc w:val="both"/>
        <w:rPr>
          <w:rFonts w:cs="Times New Roman"/>
          <w:color w:val="000000" w:themeColor="text1"/>
        </w:rPr>
      </w:pPr>
      <w:r w:rsidRPr="00826E36">
        <w:rPr>
          <w:rFonts w:cs="Times New Roman"/>
          <w:color w:val="000000" w:themeColor="text1"/>
        </w:rPr>
        <w:t xml:space="preserve">It </w:t>
      </w:r>
      <w:r w:rsidR="00EB591E" w:rsidRPr="00826E36">
        <w:rPr>
          <w:rFonts w:cs="Times New Roman"/>
          <w:color w:val="000000" w:themeColor="text1"/>
        </w:rPr>
        <w:t>might seem obvious that t</w:t>
      </w:r>
      <w:r w:rsidR="00F83BF1" w:rsidRPr="00826E36">
        <w:rPr>
          <w:rFonts w:cs="Times New Roman"/>
          <w:color w:val="000000" w:themeColor="text1"/>
        </w:rPr>
        <w:t xml:space="preserve">he price of oil </w:t>
      </w:r>
      <w:r w:rsidR="00023F50">
        <w:rPr>
          <w:rFonts w:cs="Times New Roman"/>
          <w:color w:val="000000" w:themeColor="text1"/>
        </w:rPr>
        <w:t xml:space="preserve">has </w:t>
      </w:r>
      <w:r w:rsidR="00F83BF1" w:rsidRPr="00826E36">
        <w:rPr>
          <w:rFonts w:cs="Times New Roman"/>
          <w:color w:val="000000" w:themeColor="text1"/>
        </w:rPr>
        <w:t xml:space="preserve">a significant impact on </w:t>
      </w:r>
      <w:r w:rsidR="00EB591E" w:rsidRPr="00826E36">
        <w:rPr>
          <w:rFonts w:cs="Times New Roman"/>
          <w:color w:val="000000" w:themeColor="text1"/>
        </w:rPr>
        <w:t xml:space="preserve">the </w:t>
      </w:r>
      <w:r w:rsidR="00F83BF1" w:rsidRPr="00826E36">
        <w:rPr>
          <w:rFonts w:cs="Times New Roman"/>
          <w:color w:val="000000" w:themeColor="text1"/>
        </w:rPr>
        <w:t>logistics and supply chain</w:t>
      </w:r>
      <w:r w:rsidR="00EB591E" w:rsidRPr="00826E36">
        <w:rPr>
          <w:rFonts w:cs="Times New Roman"/>
          <w:color w:val="000000" w:themeColor="text1"/>
        </w:rPr>
        <w:t xml:space="preserve"> industries</w:t>
      </w:r>
      <w:r w:rsidR="00EA1C31" w:rsidRPr="00826E36">
        <w:rPr>
          <w:rFonts w:cs="Times New Roman"/>
          <w:color w:val="000000" w:themeColor="text1"/>
        </w:rPr>
        <w:t xml:space="preserve">. </w:t>
      </w:r>
      <w:r w:rsidR="00EB591E" w:rsidRPr="00826E36">
        <w:rPr>
          <w:rFonts w:cs="Times New Roman"/>
          <w:color w:val="000000" w:themeColor="text1"/>
        </w:rPr>
        <w:t>This is because a</w:t>
      </w:r>
      <w:r w:rsidRPr="00826E36">
        <w:rPr>
          <w:rFonts w:cs="Times New Roman"/>
          <w:color w:val="000000" w:themeColor="text1"/>
        </w:rPr>
        <w:t xml:space="preserve"> high oil price adds directly to the fuel bills of much of the transport involved, and also to most other costs by way of the embedded fu</w:t>
      </w:r>
      <w:r w:rsidR="00EA1C31" w:rsidRPr="00826E36">
        <w:rPr>
          <w:rFonts w:cs="Times New Roman"/>
          <w:color w:val="000000" w:themeColor="text1"/>
        </w:rPr>
        <w:t>el costs of nearly all</w:t>
      </w:r>
      <w:r w:rsidRPr="00826E36">
        <w:rPr>
          <w:rFonts w:cs="Times New Roman"/>
          <w:color w:val="000000" w:themeColor="text1"/>
        </w:rPr>
        <w:t xml:space="preserve"> activities. </w:t>
      </w:r>
      <w:r w:rsidR="00EB591E" w:rsidRPr="00826E36">
        <w:rPr>
          <w:rFonts w:cs="Times New Roman"/>
          <w:color w:val="000000" w:themeColor="text1"/>
        </w:rPr>
        <w:t>But surprisingly, w</w:t>
      </w:r>
      <w:r w:rsidRPr="00826E36">
        <w:rPr>
          <w:rFonts w:cs="Times New Roman"/>
          <w:color w:val="000000" w:themeColor="text1"/>
        </w:rPr>
        <w:t xml:space="preserve">hile general reference is often made to this linkage, we have found </w:t>
      </w:r>
      <w:r w:rsidR="00EB591E" w:rsidRPr="00826E36">
        <w:rPr>
          <w:rFonts w:cs="Times New Roman"/>
          <w:color w:val="000000" w:themeColor="text1"/>
        </w:rPr>
        <w:t xml:space="preserve">relatively </w:t>
      </w:r>
      <w:r w:rsidRPr="00826E36">
        <w:rPr>
          <w:rFonts w:cs="Times New Roman"/>
          <w:color w:val="000000" w:themeColor="text1"/>
        </w:rPr>
        <w:t>few studies that h</w:t>
      </w:r>
      <w:r w:rsidR="00F8653C">
        <w:rPr>
          <w:rFonts w:cs="Times New Roman"/>
          <w:color w:val="000000" w:themeColor="text1"/>
        </w:rPr>
        <w:t xml:space="preserve">ave looked at this </w:t>
      </w:r>
      <w:r w:rsidR="00EB591E" w:rsidRPr="00826E36">
        <w:rPr>
          <w:rFonts w:cs="Times New Roman"/>
          <w:color w:val="000000" w:themeColor="text1"/>
        </w:rPr>
        <w:t>in an</w:t>
      </w:r>
      <w:r w:rsidRPr="00826E36">
        <w:rPr>
          <w:rFonts w:cs="Times New Roman"/>
          <w:color w:val="000000" w:themeColor="text1"/>
        </w:rPr>
        <w:t xml:space="preserve"> analytical or quantitative way. </w:t>
      </w:r>
    </w:p>
    <w:p w14:paraId="31C1B77B" w14:textId="77777777" w:rsidR="00EA1C31" w:rsidRPr="00D26378" w:rsidRDefault="00EA1C31" w:rsidP="00A20E38">
      <w:pPr>
        <w:jc w:val="both"/>
        <w:rPr>
          <w:rFonts w:cs="Times New Roman"/>
          <w:color w:val="000000" w:themeColor="text1"/>
          <w:sz w:val="14"/>
        </w:rPr>
      </w:pPr>
    </w:p>
    <w:p w14:paraId="0197CE7B" w14:textId="455E4A72" w:rsidR="004E746F" w:rsidRPr="00F65929" w:rsidRDefault="00800DB2" w:rsidP="00A20E38">
      <w:pPr>
        <w:jc w:val="both"/>
        <w:rPr>
          <w:rFonts w:cs="Times New Roman"/>
          <w:color w:val="000000" w:themeColor="text1"/>
        </w:rPr>
      </w:pPr>
      <w:r w:rsidRPr="00F65929">
        <w:rPr>
          <w:rFonts w:cs="Times New Roman"/>
          <w:color w:val="000000" w:themeColor="text1"/>
        </w:rPr>
        <w:t xml:space="preserve">In terms of </w:t>
      </w:r>
      <w:r w:rsidRPr="000633FA">
        <w:rPr>
          <w:rFonts w:cs="Times New Roman"/>
          <w:color w:val="000000" w:themeColor="text1"/>
        </w:rPr>
        <w:t xml:space="preserve">quantitative </w:t>
      </w:r>
      <w:r w:rsidRPr="00F65929">
        <w:rPr>
          <w:rFonts w:cs="Times New Roman"/>
          <w:color w:val="000000" w:themeColor="text1"/>
        </w:rPr>
        <w:t xml:space="preserve">impacts, </w:t>
      </w:r>
      <w:r w:rsidR="005051C6" w:rsidRPr="00F65929">
        <w:rPr>
          <w:rFonts w:cs="Times New Roman"/>
          <w:color w:val="000000" w:themeColor="text1"/>
        </w:rPr>
        <w:t>o</w:t>
      </w:r>
      <w:r w:rsidR="00A10B49" w:rsidRPr="00F65929">
        <w:rPr>
          <w:rFonts w:cs="Times New Roman"/>
          <w:color w:val="000000" w:themeColor="text1"/>
        </w:rPr>
        <w:t>ne study for example</w:t>
      </w:r>
      <w:r w:rsidR="005051C6" w:rsidRPr="00F65929">
        <w:rPr>
          <w:rFonts w:cs="Times New Roman"/>
          <w:color w:val="000000" w:themeColor="text1"/>
        </w:rPr>
        <w:t xml:space="preserve"> is that by Ronen (2011) on the effect of oil price on containership speed and fleet size. </w:t>
      </w:r>
      <w:r w:rsidR="004E746F" w:rsidRPr="00F65929">
        <w:rPr>
          <w:rFonts w:cs="Times New Roman"/>
          <w:color w:val="000000" w:themeColor="text1"/>
        </w:rPr>
        <w:t>Among more broadly-based studies is that by Christoph</w:t>
      </w:r>
      <w:r w:rsidR="00F65929" w:rsidRPr="00F65929">
        <w:rPr>
          <w:rFonts w:cs="Times New Roman"/>
          <w:color w:val="000000" w:themeColor="text1"/>
        </w:rPr>
        <w:t xml:space="preserve">er and </w:t>
      </w:r>
      <w:proofErr w:type="spellStart"/>
      <w:r w:rsidR="00F65929" w:rsidRPr="00F65929">
        <w:rPr>
          <w:rFonts w:cs="Times New Roman"/>
          <w:color w:val="000000" w:themeColor="text1"/>
        </w:rPr>
        <w:t>Holweg</w:t>
      </w:r>
      <w:proofErr w:type="spellEnd"/>
      <w:r w:rsidR="00F65929" w:rsidRPr="00F65929">
        <w:rPr>
          <w:rFonts w:cs="Times New Roman"/>
          <w:color w:val="000000" w:themeColor="text1"/>
        </w:rPr>
        <w:t xml:space="preserve"> (2011) who point</w:t>
      </w:r>
      <w:r w:rsidR="004E746F" w:rsidRPr="00F65929">
        <w:rPr>
          <w:rFonts w:cs="Times New Roman"/>
          <w:color w:val="000000" w:themeColor="text1"/>
        </w:rPr>
        <w:t xml:space="preserve"> out that </w:t>
      </w:r>
      <w:r w:rsidR="00F65929" w:rsidRPr="00F65929">
        <w:rPr>
          <w:rFonts w:cs="Times New Roman"/>
          <w:color w:val="000000" w:themeColor="text1"/>
        </w:rPr>
        <w:t xml:space="preserve">generally for logistics </w:t>
      </w:r>
      <w:r w:rsidR="004E746F" w:rsidRPr="00F65929">
        <w:rPr>
          <w:rFonts w:cs="Times New Roman"/>
          <w:color w:val="000000" w:themeColor="text1"/>
        </w:rPr>
        <w:t>‘variability is detrimental to performance’ (</w:t>
      </w:r>
      <w:r w:rsidR="00E52F71">
        <w:rPr>
          <w:rFonts w:cs="Times New Roman"/>
          <w:color w:val="000000" w:themeColor="text1"/>
        </w:rPr>
        <w:t xml:space="preserve">Page </w:t>
      </w:r>
      <w:r w:rsidR="004E746F" w:rsidRPr="00F65929">
        <w:rPr>
          <w:rFonts w:cs="Times New Roman"/>
          <w:color w:val="000000" w:themeColor="text1"/>
        </w:rPr>
        <w:t>63)</w:t>
      </w:r>
      <w:r w:rsidR="00F65929" w:rsidRPr="00F65929">
        <w:rPr>
          <w:rFonts w:cs="Times New Roman"/>
          <w:color w:val="000000" w:themeColor="text1"/>
        </w:rPr>
        <w:t xml:space="preserve"> and </w:t>
      </w:r>
      <w:r w:rsidR="004E746F" w:rsidRPr="00F65929">
        <w:rPr>
          <w:rFonts w:cs="Times New Roman"/>
          <w:color w:val="000000" w:themeColor="text1"/>
        </w:rPr>
        <w:t>argue that: ‘in the light of increasing turbul</w:t>
      </w:r>
      <w:r w:rsidR="00F65929">
        <w:rPr>
          <w:rFonts w:cs="Times New Roman"/>
          <w:color w:val="000000" w:themeColor="text1"/>
        </w:rPr>
        <w:t>ence [which in their view</w:t>
      </w:r>
      <w:r w:rsidR="004E746F" w:rsidRPr="00F65929">
        <w:rPr>
          <w:rFonts w:cs="Times New Roman"/>
          <w:color w:val="000000" w:themeColor="text1"/>
        </w:rPr>
        <w:t xml:space="preserve"> includes oil price shocks, as well a global recession] a different approach to</w:t>
      </w:r>
      <w:r w:rsidR="00F65929">
        <w:rPr>
          <w:rFonts w:cs="Times New Roman"/>
          <w:color w:val="000000" w:themeColor="text1"/>
        </w:rPr>
        <w:t xml:space="preserve"> SC management is needed’. These authors hold</w:t>
      </w:r>
      <w:r w:rsidR="004E746F" w:rsidRPr="00F65929">
        <w:rPr>
          <w:rFonts w:cs="Times New Roman"/>
          <w:color w:val="000000" w:themeColor="text1"/>
        </w:rPr>
        <w:t xml:space="preserve"> that ‘most current SC management models emanate from a period o</w:t>
      </w:r>
      <w:r w:rsidR="000633FA">
        <w:rPr>
          <w:rFonts w:cs="Times New Roman"/>
          <w:color w:val="000000" w:themeColor="text1"/>
        </w:rPr>
        <w:t>f relative stability’ and that ‘</w:t>
      </w:r>
      <w:r w:rsidR="004E746F" w:rsidRPr="00F65929">
        <w:rPr>
          <w:rFonts w:cs="Times New Roman"/>
          <w:color w:val="000000" w:themeColor="text1"/>
        </w:rPr>
        <w:t xml:space="preserve">there is considerable evidence that we will experience increasing turbulence in the future’. </w:t>
      </w:r>
    </w:p>
    <w:p w14:paraId="37D8E7FA" w14:textId="77777777" w:rsidR="004E746F" w:rsidRPr="00D021A9" w:rsidRDefault="004E746F" w:rsidP="00A20E38">
      <w:pPr>
        <w:jc w:val="both"/>
        <w:rPr>
          <w:rFonts w:cs="Times New Roman"/>
          <w:color w:val="000000" w:themeColor="text1"/>
          <w:sz w:val="16"/>
        </w:rPr>
      </w:pPr>
    </w:p>
    <w:p w14:paraId="17482A81" w14:textId="4A816F73" w:rsidR="004E746F" w:rsidRPr="00600554" w:rsidRDefault="00F65929" w:rsidP="00A20E38">
      <w:pPr>
        <w:jc w:val="both"/>
        <w:rPr>
          <w:rFonts w:cs="Times New Roman"/>
          <w:color w:val="000000" w:themeColor="text1"/>
        </w:rPr>
      </w:pPr>
      <w:r w:rsidRPr="00600554">
        <w:rPr>
          <w:rFonts w:cs="Times New Roman"/>
          <w:color w:val="000000" w:themeColor="text1"/>
        </w:rPr>
        <w:t>More recent papers include</w:t>
      </w:r>
      <w:r w:rsidR="004E746F" w:rsidRPr="00600554">
        <w:rPr>
          <w:rFonts w:cs="Times New Roman"/>
          <w:color w:val="000000" w:themeColor="text1"/>
        </w:rPr>
        <w:t xml:space="preserve"> </w:t>
      </w:r>
      <w:r w:rsidRPr="00600554">
        <w:rPr>
          <w:rFonts w:cs="Times New Roman"/>
          <w:color w:val="000000" w:themeColor="text1"/>
        </w:rPr>
        <w:t xml:space="preserve">that </w:t>
      </w:r>
      <w:r w:rsidR="000633FA">
        <w:rPr>
          <w:rFonts w:cs="Times New Roman"/>
          <w:color w:val="000000" w:themeColor="text1"/>
        </w:rPr>
        <w:t xml:space="preserve">by </w:t>
      </w:r>
      <w:r w:rsidR="004E746F" w:rsidRPr="00600554">
        <w:rPr>
          <w:rFonts w:cs="Times New Roman"/>
          <w:color w:val="000000" w:themeColor="text1"/>
        </w:rPr>
        <w:t>Ramanathan (2016)</w:t>
      </w:r>
      <w:r w:rsidRPr="00600554">
        <w:rPr>
          <w:rFonts w:cs="Times New Roman"/>
          <w:color w:val="000000" w:themeColor="text1"/>
        </w:rPr>
        <w:t xml:space="preserve">, who </w:t>
      </w:r>
      <w:r w:rsidR="004E746F" w:rsidRPr="00600554">
        <w:rPr>
          <w:rFonts w:cs="Times New Roman"/>
          <w:color w:val="000000" w:themeColor="text1"/>
        </w:rPr>
        <w:t>explored energy characteristics across the world</w:t>
      </w:r>
      <w:r w:rsidR="000633FA">
        <w:rPr>
          <w:rFonts w:cs="Times New Roman"/>
          <w:color w:val="000000" w:themeColor="text1"/>
        </w:rPr>
        <w:t>,</w:t>
      </w:r>
      <w:r w:rsidR="004E746F" w:rsidRPr="00600554">
        <w:rPr>
          <w:rFonts w:cs="Times New Roman"/>
          <w:color w:val="000000" w:themeColor="text1"/>
        </w:rPr>
        <w:t xml:space="preserve"> and highlighted logistics costs to businesses in the current outsourcing scenario</w:t>
      </w:r>
      <w:r w:rsidR="000633FA">
        <w:rPr>
          <w:rFonts w:cs="Times New Roman"/>
          <w:color w:val="000000" w:themeColor="text1"/>
        </w:rPr>
        <w:t xml:space="preserve">. And an excellent recent paper is that </w:t>
      </w:r>
      <w:r w:rsidRPr="00600554">
        <w:rPr>
          <w:rFonts w:cs="Times New Roman"/>
          <w:color w:val="000000" w:themeColor="text1"/>
        </w:rPr>
        <w:t xml:space="preserve">by </w:t>
      </w:r>
      <w:proofErr w:type="spellStart"/>
      <w:r w:rsidR="004E746F" w:rsidRPr="00600554">
        <w:rPr>
          <w:rFonts w:cs="Times New Roman"/>
          <w:color w:val="000000" w:themeColor="text1"/>
        </w:rPr>
        <w:t>Busse</w:t>
      </w:r>
      <w:proofErr w:type="spellEnd"/>
      <w:r w:rsidR="004E746F" w:rsidRPr="00600554">
        <w:rPr>
          <w:rFonts w:cs="Times New Roman"/>
          <w:color w:val="000000" w:themeColor="text1"/>
        </w:rPr>
        <w:t xml:space="preserve"> et al. (2017)</w:t>
      </w:r>
      <w:r w:rsidR="000633FA">
        <w:rPr>
          <w:rFonts w:cs="Times New Roman"/>
          <w:color w:val="000000" w:themeColor="text1"/>
        </w:rPr>
        <w:t xml:space="preserve">, who </w:t>
      </w:r>
      <w:r w:rsidR="004E746F" w:rsidRPr="00600554">
        <w:rPr>
          <w:rFonts w:cs="Times New Roman"/>
          <w:color w:val="000000" w:themeColor="text1"/>
        </w:rPr>
        <w:t>write: ‘Because of the major contribution of logistics to the greenhouse gas effect, logistics research has begun to address the topic of energy, but it has not yet targeted the role of energy within logistical decision-making processes.</w:t>
      </w:r>
      <w:r w:rsidR="00600554" w:rsidRPr="00600554">
        <w:rPr>
          <w:rFonts w:cs="Times New Roman"/>
          <w:color w:val="000000" w:themeColor="text1"/>
        </w:rPr>
        <w:t>’</w:t>
      </w:r>
      <w:r w:rsidRPr="00600554">
        <w:rPr>
          <w:rFonts w:cs="Times New Roman"/>
          <w:color w:val="000000" w:themeColor="text1"/>
        </w:rPr>
        <w:t xml:space="preserve"> This agrees with our findings</w:t>
      </w:r>
      <w:r w:rsidR="000633FA">
        <w:rPr>
          <w:rFonts w:cs="Times New Roman"/>
          <w:color w:val="000000" w:themeColor="text1"/>
        </w:rPr>
        <w:t>,</w:t>
      </w:r>
      <w:r w:rsidRPr="00600554">
        <w:rPr>
          <w:rFonts w:cs="Times New Roman"/>
          <w:color w:val="000000" w:themeColor="text1"/>
        </w:rPr>
        <w:t xml:space="preserve"> that o</w:t>
      </w:r>
      <w:r w:rsidR="00600554" w:rsidRPr="00600554">
        <w:rPr>
          <w:rFonts w:cs="Times New Roman"/>
          <w:color w:val="000000" w:themeColor="text1"/>
        </w:rPr>
        <w:t xml:space="preserve">verall there appears to be a rather </w:t>
      </w:r>
      <w:r w:rsidR="004E746F" w:rsidRPr="00600554">
        <w:rPr>
          <w:rFonts w:cs="Times New Roman"/>
          <w:color w:val="000000" w:themeColor="text1"/>
        </w:rPr>
        <w:t xml:space="preserve">limited literature examining </w:t>
      </w:r>
      <w:r w:rsidR="00600554" w:rsidRPr="00600554">
        <w:rPr>
          <w:rFonts w:cs="Times New Roman"/>
          <w:color w:val="000000" w:themeColor="text1"/>
        </w:rPr>
        <w:t xml:space="preserve">the </w:t>
      </w:r>
      <w:r w:rsidR="004E746F" w:rsidRPr="00600554">
        <w:rPr>
          <w:rFonts w:cs="Times New Roman"/>
          <w:color w:val="000000" w:themeColor="text1"/>
        </w:rPr>
        <w:t xml:space="preserve">energy </w:t>
      </w:r>
      <w:r w:rsidR="00600554" w:rsidRPr="00600554">
        <w:rPr>
          <w:rFonts w:cs="Times New Roman"/>
          <w:color w:val="000000" w:themeColor="text1"/>
        </w:rPr>
        <w:t>l</w:t>
      </w:r>
      <w:r w:rsidR="004E746F" w:rsidRPr="00600554">
        <w:rPr>
          <w:rFonts w:cs="Times New Roman"/>
          <w:color w:val="000000" w:themeColor="text1"/>
        </w:rPr>
        <w:t>ogistics/SC li</w:t>
      </w:r>
      <w:r w:rsidR="00600554" w:rsidRPr="00600554">
        <w:rPr>
          <w:rFonts w:cs="Times New Roman"/>
          <w:color w:val="000000" w:themeColor="text1"/>
        </w:rPr>
        <w:t>nkages in any detail (let alone vs. oil price)</w:t>
      </w:r>
      <w:r w:rsidR="004E746F" w:rsidRPr="00600554">
        <w:rPr>
          <w:rFonts w:cs="Times New Roman"/>
          <w:color w:val="000000" w:themeColor="text1"/>
        </w:rPr>
        <w:t>, suggesting a useful avenue for research.</w:t>
      </w:r>
    </w:p>
    <w:p w14:paraId="6B35A940" w14:textId="77777777" w:rsidR="00462558" w:rsidRPr="00D26378" w:rsidRDefault="00462558" w:rsidP="00A20E38">
      <w:pPr>
        <w:jc w:val="both"/>
        <w:rPr>
          <w:rFonts w:cs="Times New Roman"/>
          <w:color w:val="000000" w:themeColor="text1"/>
          <w:sz w:val="14"/>
        </w:rPr>
      </w:pPr>
    </w:p>
    <w:p w14:paraId="2CFD32D3" w14:textId="4007DC0E" w:rsidR="00462558" w:rsidRPr="00C7798C" w:rsidRDefault="00462558" w:rsidP="00C7798C">
      <w:pPr>
        <w:pStyle w:val="ListParagraph"/>
        <w:numPr>
          <w:ilvl w:val="0"/>
          <w:numId w:val="41"/>
        </w:numPr>
        <w:ind w:left="284" w:hanging="284"/>
        <w:jc w:val="both"/>
        <w:rPr>
          <w:rFonts w:cs="Times New Roman"/>
          <w:i/>
          <w:color w:val="000000" w:themeColor="text1"/>
          <w:u w:val="single"/>
        </w:rPr>
      </w:pPr>
      <w:r w:rsidRPr="00C7798C">
        <w:rPr>
          <w:rFonts w:cs="Times New Roman"/>
          <w:b/>
          <w:color w:val="000000" w:themeColor="text1"/>
          <w:u w:val="single"/>
        </w:rPr>
        <w:t>Research Objectives</w:t>
      </w:r>
      <w:r w:rsidR="00D62B03" w:rsidRPr="00C7798C">
        <w:rPr>
          <w:rFonts w:cs="Times New Roman"/>
          <w:i/>
          <w:color w:val="000000" w:themeColor="text1"/>
          <w:u w:val="single"/>
        </w:rPr>
        <w:t xml:space="preserve"> </w:t>
      </w:r>
    </w:p>
    <w:p w14:paraId="4BFCDB37" w14:textId="0B6E2C8B" w:rsidR="00E57D45" w:rsidRPr="00F05B7E" w:rsidRDefault="00E57D45" w:rsidP="00A20E38">
      <w:pPr>
        <w:jc w:val="both"/>
        <w:rPr>
          <w:rFonts w:cs="Times New Roman"/>
          <w:color w:val="000000" w:themeColor="text1"/>
        </w:rPr>
      </w:pPr>
      <w:r w:rsidRPr="00F05B7E">
        <w:rPr>
          <w:rFonts w:cs="Times New Roman"/>
          <w:color w:val="000000" w:themeColor="text1"/>
        </w:rPr>
        <w:t xml:space="preserve">The </w:t>
      </w:r>
      <w:r w:rsidR="00226B38" w:rsidRPr="00F05B7E">
        <w:rPr>
          <w:rFonts w:cs="Times New Roman"/>
          <w:color w:val="000000" w:themeColor="text1"/>
        </w:rPr>
        <w:t>primary objective</w:t>
      </w:r>
      <w:r w:rsidR="000633FA">
        <w:rPr>
          <w:rFonts w:cs="Times New Roman"/>
          <w:color w:val="000000" w:themeColor="text1"/>
        </w:rPr>
        <w:t>s</w:t>
      </w:r>
      <w:r w:rsidRPr="00F05B7E">
        <w:rPr>
          <w:rFonts w:cs="Times New Roman"/>
          <w:color w:val="000000" w:themeColor="text1"/>
        </w:rPr>
        <w:t xml:space="preserve"> of </w:t>
      </w:r>
      <w:r w:rsidR="000633FA">
        <w:rPr>
          <w:rFonts w:cs="Times New Roman"/>
          <w:color w:val="000000" w:themeColor="text1"/>
        </w:rPr>
        <w:t>this research have</w:t>
      </w:r>
      <w:r w:rsidR="00226B38" w:rsidRPr="00F05B7E">
        <w:rPr>
          <w:rFonts w:cs="Times New Roman"/>
          <w:color w:val="000000" w:themeColor="text1"/>
        </w:rPr>
        <w:t xml:space="preserve"> been to</w:t>
      </w:r>
      <w:r w:rsidR="00065714" w:rsidRPr="00F05B7E">
        <w:rPr>
          <w:rFonts w:cs="Times New Roman"/>
          <w:color w:val="000000" w:themeColor="text1"/>
        </w:rPr>
        <w:t xml:space="preserve"> </w:t>
      </w:r>
      <w:r w:rsidRPr="00F05B7E">
        <w:rPr>
          <w:rFonts w:cs="Times New Roman"/>
          <w:color w:val="000000" w:themeColor="text1"/>
        </w:rPr>
        <w:t>understand the impacts of oil price on logistics / SC activities, primarily through the vi</w:t>
      </w:r>
      <w:r w:rsidR="000633FA">
        <w:rPr>
          <w:rFonts w:cs="Times New Roman"/>
          <w:color w:val="000000" w:themeColor="text1"/>
        </w:rPr>
        <w:t>ews of managers and educators involved with</w:t>
      </w:r>
      <w:r w:rsidRPr="00F05B7E">
        <w:rPr>
          <w:rFonts w:cs="Times New Roman"/>
          <w:color w:val="000000" w:themeColor="text1"/>
        </w:rPr>
        <w:t xml:space="preserve"> these industries. The research recognised </w:t>
      </w:r>
      <w:r w:rsidR="00065714" w:rsidRPr="00F05B7E">
        <w:rPr>
          <w:rFonts w:cs="Times New Roman"/>
          <w:color w:val="000000" w:themeColor="text1"/>
        </w:rPr>
        <w:t xml:space="preserve">three main considerations: Firstly, </w:t>
      </w:r>
      <w:r w:rsidR="00226B38" w:rsidRPr="00F05B7E">
        <w:rPr>
          <w:rFonts w:cs="Times New Roman"/>
          <w:color w:val="000000" w:themeColor="text1"/>
        </w:rPr>
        <w:t xml:space="preserve">that </w:t>
      </w:r>
      <w:r w:rsidR="00065714" w:rsidRPr="00F05B7E">
        <w:rPr>
          <w:rFonts w:cs="Times New Roman"/>
          <w:color w:val="000000" w:themeColor="text1"/>
        </w:rPr>
        <w:t xml:space="preserve">the </w:t>
      </w:r>
      <w:r w:rsidRPr="00F05B7E">
        <w:rPr>
          <w:rFonts w:cs="Times New Roman"/>
          <w:color w:val="000000" w:themeColor="text1"/>
        </w:rPr>
        <w:t xml:space="preserve">anticipated </w:t>
      </w:r>
      <w:r w:rsidR="00065714" w:rsidRPr="00F05B7E">
        <w:rPr>
          <w:rFonts w:cs="Times New Roman"/>
          <w:color w:val="000000" w:themeColor="text1"/>
        </w:rPr>
        <w:t>impact of oil price on logistics and SC activities is likely to be a functi</w:t>
      </w:r>
      <w:r w:rsidRPr="00F05B7E">
        <w:rPr>
          <w:rFonts w:cs="Times New Roman"/>
          <w:color w:val="000000" w:themeColor="text1"/>
        </w:rPr>
        <w:t>on of time-horizon. For example</w:t>
      </w:r>
      <w:r w:rsidR="00E52F71">
        <w:rPr>
          <w:rFonts w:cs="Times New Roman"/>
          <w:color w:val="000000" w:themeColor="text1"/>
        </w:rPr>
        <w:t>,</w:t>
      </w:r>
      <w:r w:rsidR="00065714" w:rsidRPr="00F05B7E">
        <w:rPr>
          <w:rFonts w:cs="Times New Roman"/>
          <w:color w:val="000000" w:themeColor="text1"/>
        </w:rPr>
        <w:t xml:space="preserve"> a high fuel cost is likely to reduce profitability in the short term, but over the longer term is likely to encourage adoption of more efficient vehicles, their more efficient use (</w:t>
      </w:r>
      <w:r w:rsidRPr="00F05B7E">
        <w:rPr>
          <w:rFonts w:cs="Times New Roman"/>
          <w:color w:val="000000" w:themeColor="text1"/>
        </w:rPr>
        <w:t>e.g.</w:t>
      </w:r>
      <w:r w:rsidR="00065714" w:rsidRPr="00F05B7E">
        <w:rPr>
          <w:rFonts w:cs="Times New Roman"/>
          <w:color w:val="000000" w:themeColor="text1"/>
        </w:rPr>
        <w:t xml:space="preserve">, ‘reverse logistics’), and fuel switching (e.g. to compressed natural gas). Secondly, </w:t>
      </w:r>
      <w:r w:rsidRPr="00F05B7E">
        <w:rPr>
          <w:rFonts w:cs="Times New Roman"/>
          <w:color w:val="000000" w:themeColor="text1"/>
        </w:rPr>
        <w:t xml:space="preserve">that </w:t>
      </w:r>
      <w:r w:rsidR="00065714" w:rsidRPr="00F05B7E">
        <w:rPr>
          <w:rFonts w:cs="Times New Roman"/>
          <w:color w:val="000000" w:themeColor="text1"/>
        </w:rPr>
        <w:t xml:space="preserve">the period of high oil price from 2007 to 2014 placed stress on many economic activities, including on logistics and SCs, and led to </w:t>
      </w:r>
      <w:r w:rsidRPr="00F05B7E">
        <w:rPr>
          <w:rFonts w:cs="Times New Roman"/>
          <w:color w:val="000000" w:themeColor="text1"/>
        </w:rPr>
        <w:t xml:space="preserve">wide-spread </w:t>
      </w:r>
      <w:r w:rsidR="00065714" w:rsidRPr="00F05B7E">
        <w:rPr>
          <w:rFonts w:cs="Times New Roman"/>
          <w:color w:val="000000" w:themeColor="text1"/>
        </w:rPr>
        <w:t>discussion of ‘peak oil’ (</w:t>
      </w:r>
      <w:r w:rsidRPr="00F05B7E">
        <w:rPr>
          <w:rFonts w:cs="Times New Roman"/>
          <w:color w:val="000000" w:themeColor="text1"/>
        </w:rPr>
        <w:t>Bentley, 2016). And finally</w:t>
      </w:r>
      <w:r w:rsidR="00065714" w:rsidRPr="00F05B7E">
        <w:rPr>
          <w:rFonts w:cs="Times New Roman"/>
          <w:color w:val="000000" w:themeColor="text1"/>
        </w:rPr>
        <w:t>, the</w:t>
      </w:r>
      <w:r w:rsidRPr="00F05B7E">
        <w:rPr>
          <w:rFonts w:cs="Times New Roman"/>
          <w:color w:val="000000" w:themeColor="text1"/>
        </w:rPr>
        <w:t xml:space="preserve"> recent period of </w:t>
      </w:r>
      <w:r w:rsidR="00065714" w:rsidRPr="00F05B7E">
        <w:rPr>
          <w:rFonts w:cs="Times New Roman"/>
          <w:color w:val="000000" w:themeColor="text1"/>
        </w:rPr>
        <w:t xml:space="preserve">low </w:t>
      </w:r>
      <w:r w:rsidRPr="00F05B7E">
        <w:rPr>
          <w:rFonts w:cs="Times New Roman"/>
          <w:color w:val="000000" w:themeColor="text1"/>
        </w:rPr>
        <w:t xml:space="preserve">oil </w:t>
      </w:r>
      <w:r w:rsidR="00065714" w:rsidRPr="00F05B7E">
        <w:rPr>
          <w:rFonts w:cs="Times New Roman"/>
          <w:color w:val="000000" w:themeColor="text1"/>
        </w:rPr>
        <w:t>price</w:t>
      </w:r>
      <w:r w:rsidRPr="00F05B7E">
        <w:rPr>
          <w:rFonts w:cs="Times New Roman"/>
          <w:color w:val="000000" w:themeColor="text1"/>
        </w:rPr>
        <w:t>s (below</w:t>
      </w:r>
      <w:r w:rsidR="00065714" w:rsidRPr="00F05B7E">
        <w:rPr>
          <w:rFonts w:cs="Times New Roman"/>
          <w:color w:val="000000" w:themeColor="text1"/>
        </w:rPr>
        <w:t xml:space="preserve"> 50/bbl</w:t>
      </w:r>
      <w:r w:rsidRPr="00F05B7E">
        <w:rPr>
          <w:rFonts w:cs="Times New Roman"/>
          <w:color w:val="000000" w:themeColor="text1"/>
        </w:rPr>
        <w:t>)</w:t>
      </w:r>
      <w:r w:rsidR="00065714" w:rsidRPr="00F05B7E">
        <w:rPr>
          <w:rFonts w:cs="Times New Roman"/>
          <w:color w:val="000000" w:themeColor="text1"/>
        </w:rPr>
        <w:t xml:space="preserve"> caused many to reappraise this view</w:t>
      </w:r>
      <w:r w:rsidRPr="00F05B7E">
        <w:rPr>
          <w:rFonts w:cs="Times New Roman"/>
          <w:color w:val="000000" w:themeColor="text1"/>
        </w:rPr>
        <w:t>.</w:t>
      </w:r>
    </w:p>
    <w:p w14:paraId="392C7126" w14:textId="77777777" w:rsidR="00462558" w:rsidRPr="00D26378" w:rsidRDefault="00462558" w:rsidP="00A20E38">
      <w:pPr>
        <w:pStyle w:val="ListParagraph"/>
        <w:ind w:left="0"/>
        <w:jc w:val="both"/>
        <w:rPr>
          <w:rFonts w:cs="Times New Roman"/>
          <w:color w:val="000000" w:themeColor="text1"/>
          <w:sz w:val="14"/>
        </w:rPr>
      </w:pPr>
    </w:p>
    <w:p w14:paraId="78FD98DE" w14:textId="3176F2A5" w:rsidR="00462558" w:rsidRPr="00C7798C" w:rsidRDefault="00462558" w:rsidP="00C7798C">
      <w:pPr>
        <w:pStyle w:val="ListParagraph"/>
        <w:numPr>
          <w:ilvl w:val="0"/>
          <w:numId w:val="41"/>
        </w:numPr>
        <w:ind w:left="284" w:hanging="284"/>
        <w:jc w:val="both"/>
        <w:rPr>
          <w:rFonts w:cs="Times New Roman"/>
          <w:color w:val="000000" w:themeColor="text1"/>
        </w:rPr>
      </w:pPr>
      <w:r w:rsidRPr="00C7798C">
        <w:rPr>
          <w:rFonts w:cs="Times New Roman"/>
          <w:b/>
          <w:color w:val="000000" w:themeColor="text1"/>
          <w:u w:val="single"/>
        </w:rPr>
        <w:t>Research Methodology</w:t>
      </w:r>
    </w:p>
    <w:p w14:paraId="5D210B65" w14:textId="2F17C7ED" w:rsidR="00E57D45" w:rsidRPr="00F05B7E" w:rsidRDefault="00226B38" w:rsidP="00A20E38">
      <w:pPr>
        <w:jc w:val="both"/>
        <w:rPr>
          <w:rFonts w:cs="Times New Roman"/>
          <w:color w:val="000000" w:themeColor="text1"/>
        </w:rPr>
      </w:pPr>
      <w:r w:rsidRPr="00F05B7E">
        <w:rPr>
          <w:rFonts w:cs="Times New Roman"/>
          <w:color w:val="000000" w:themeColor="text1"/>
        </w:rPr>
        <w:t xml:space="preserve">To answer these research </w:t>
      </w:r>
      <w:r w:rsidR="00E57D45" w:rsidRPr="00F05B7E">
        <w:rPr>
          <w:rFonts w:cs="Times New Roman"/>
          <w:color w:val="000000" w:themeColor="text1"/>
        </w:rPr>
        <w:t xml:space="preserve">questions </w:t>
      </w:r>
      <w:r w:rsidRPr="00F05B7E">
        <w:rPr>
          <w:rFonts w:cs="Times New Roman"/>
          <w:color w:val="000000" w:themeColor="text1"/>
        </w:rPr>
        <w:t xml:space="preserve">a series of </w:t>
      </w:r>
      <w:r w:rsidR="00E57D45" w:rsidRPr="00F05B7E">
        <w:rPr>
          <w:rFonts w:cs="Times New Roman"/>
          <w:color w:val="000000" w:themeColor="text1"/>
        </w:rPr>
        <w:t>questionnaire survey</w:t>
      </w:r>
      <w:r w:rsidRPr="00F05B7E">
        <w:rPr>
          <w:rFonts w:cs="Times New Roman"/>
          <w:color w:val="000000" w:themeColor="text1"/>
        </w:rPr>
        <w:t>s were targeted at experts in the field:</w:t>
      </w:r>
      <w:r w:rsidR="00E57D45" w:rsidRPr="00F05B7E">
        <w:rPr>
          <w:rFonts w:cs="Times New Roman"/>
          <w:color w:val="000000" w:themeColor="text1"/>
        </w:rPr>
        <w:t xml:space="preserve"> primarily middle and senior managers in logistics and SC companies</w:t>
      </w:r>
      <w:r w:rsidRPr="00F05B7E">
        <w:rPr>
          <w:rFonts w:cs="Times New Roman"/>
          <w:color w:val="000000" w:themeColor="text1"/>
        </w:rPr>
        <w:t xml:space="preserve">; </w:t>
      </w:r>
      <w:r w:rsidR="00E57D45" w:rsidRPr="00F05B7E">
        <w:rPr>
          <w:rFonts w:cs="Times New Roman"/>
          <w:color w:val="000000" w:themeColor="text1"/>
        </w:rPr>
        <w:t>those in other (usually large) companies such as major retailers, where logistics and SC activities are a signifi</w:t>
      </w:r>
      <w:r w:rsidRPr="00F05B7E">
        <w:rPr>
          <w:rFonts w:cs="Times New Roman"/>
          <w:color w:val="000000" w:themeColor="text1"/>
        </w:rPr>
        <w:t xml:space="preserve">cant part of the total business; and </w:t>
      </w:r>
      <w:r w:rsidR="00E57D45" w:rsidRPr="00F05B7E">
        <w:rPr>
          <w:rFonts w:cs="Times New Roman"/>
          <w:color w:val="000000" w:themeColor="text1"/>
        </w:rPr>
        <w:t xml:space="preserve">senior researchers and academics in </w:t>
      </w:r>
      <w:r w:rsidRPr="00F05B7E">
        <w:rPr>
          <w:rFonts w:cs="Times New Roman"/>
          <w:color w:val="000000" w:themeColor="text1"/>
        </w:rPr>
        <w:t>the logistics and SC discipline</w:t>
      </w:r>
      <w:r w:rsidR="000633FA">
        <w:rPr>
          <w:rFonts w:cs="Times New Roman"/>
          <w:color w:val="000000" w:themeColor="text1"/>
        </w:rPr>
        <w:t>,</w:t>
      </w:r>
      <w:r w:rsidR="00E57D45" w:rsidRPr="00F05B7E">
        <w:rPr>
          <w:rFonts w:cs="Times New Roman"/>
          <w:color w:val="000000" w:themeColor="text1"/>
        </w:rPr>
        <w:t xml:space="preserve"> to know where academia stands</w:t>
      </w:r>
      <w:r w:rsidRPr="00F05B7E">
        <w:rPr>
          <w:rFonts w:cs="Times New Roman"/>
          <w:color w:val="000000" w:themeColor="text1"/>
        </w:rPr>
        <w:t xml:space="preserve"> on the topic. The research</w:t>
      </w:r>
      <w:r w:rsidR="00E57D45" w:rsidRPr="00F05B7E">
        <w:rPr>
          <w:rFonts w:cs="Times New Roman"/>
          <w:color w:val="000000" w:themeColor="text1"/>
        </w:rPr>
        <w:t xml:space="preserve"> follow</w:t>
      </w:r>
      <w:r w:rsidRPr="00F05B7E">
        <w:rPr>
          <w:rFonts w:cs="Times New Roman"/>
          <w:color w:val="000000" w:themeColor="text1"/>
        </w:rPr>
        <w:t>ed</w:t>
      </w:r>
      <w:r w:rsidR="00E57D45" w:rsidRPr="00F05B7E">
        <w:rPr>
          <w:rFonts w:cs="Times New Roman"/>
          <w:color w:val="000000" w:themeColor="text1"/>
        </w:rPr>
        <w:t xml:space="preserve"> the ‘key informant’ approach to </w:t>
      </w:r>
      <w:r w:rsidRPr="00F05B7E">
        <w:rPr>
          <w:rFonts w:cs="Times New Roman"/>
          <w:color w:val="000000" w:themeColor="text1"/>
        </w:rPr>
        <w:t xml:space="preserve">data </w:t>
      </w:r>
      <w:r w:rsidR="00E57D45" w:rsidRPr="00F05B7E">
        <w:rPr>
          <w:rFonts w:cs="Times New Roman"/>
          <w:color w:val="000000" w:themeColor="text1"/>
        </w:rPr>
        <w:t>co</w:t>
      </w:r>
      <w:r w:rsidRPr="00F05B7E">
        <w:rPr>
          <w:rFonts w:cs="Times New Roman"/>
          <w:color w:val="000000" w:themeColor="text1"/>
        </w:rPr>
        <w:t>llection</w:t>
      </w:r>
      <w:r w:rsidR="00E57D45" w:rsidRPr="00F05B7E">
        <w:rPr>
          <w:rFonts w:cs="Times New Roman"/>
          <w:color w:val="000000" w:themeColor="text1"/>
        </w:rPr>
        <w:t xml:space="preserve">, </w:t>
      </w:r>
      <w:r w:rsidR="000633FA">
        <w:rPr>
          <w:rFonts w:cs="Times New Roman"/>
          <w:color w:val="000000" w:themeColor="text1"/>
        </w:rPr>
        <w:t xml:space="preserve">by </w:t>
      </w:r>
      <w:r w:rsidR="00E57D45" w:rsidRPr="00F05B7E">
        <w:rPr>
          <w:rFonts w:cs="Times New Roman"/>
          <w:color w:val="000000" w:themeColor="text1"/>
        </w:rPr>
        <w:t>choosing respondents because of their specialized knowledge of the topic (</w:t>
      </w:r>
      <w:proofErr w:type="spellStart"/>
      <w:r w:rsidR="00E57D45" w:rsidRPr="00F05B7E">
        <w:rPr>
          <w:rFonts w:cs="Times New Roman"/>
          <w:color w:val="000000" w:themeColor="text1"/>
        </w:rPr>
        <w:t>Bagozzi</w:t>
      </w:r>
      <w:proofErr w:type="spellEnd"/>
      <w:r w:rsidR="00E57D45" w:rsidRPr="00F05B7E">
        <w:rPr>
          <w:rFonts w:cs="Times New Roman"/>
          <w:color w:val="000000" w:themeColor="text1"/>
        </w:rPr>
        <w:t>, et al. 1991).</w:t>
      </w:r>
    </w:p>
    <w:p w14:paraId="517132FD" w14:textId="77777777" w:rsidR="00E57D45" w:rsidRPr="00D26378" w:rsidRDefault="00E57D45" w:rsidP="00A20E38">
      <w:pPr>
        <w:jc w:val="both"/>
        <w:rPr>
          <w:rFonts w:cs="Times New Roman"/>
          <w:color w:val="000000" w:themeColor="text1"/>
          <w:sz w:val="14"/>
        </w:rPr>
      </w:pPr>
    </w:p>
    <w:p w14:paraId="7591752B" w14:textId="08F56DFD" w:rsidR="00462558" w:rsidRPr="00F05B7E" w:rsidRDefault="00226B38" w:rsidP="00A20E38">
      <w:pPr>
        <w:jc w:val="both"/>
        <w:rPr>
          <w:rFonts w:cs="Times New Roman"/>
          <w:color w:val="000000" w:themeColor="text1"/>
        </w:rPr>
      </w:pPr>
      <w:r w:rsidRPr="00F05B7E">
        <w:rPr>
          <w:rFonts w:cs="Times New Roman"/>
          <w:color w:val="000000" w:themeColor="text1"/>
        </w:rPr>
        <w:t>The</w:t>
      </w:r>
      <w:r w:rsidR="00462558" w:rsidRPr="00F05B7E">
        <w:rPr>
          <w:rFonts w:cs="Times New Roman"/>
          <w:color w:val="000000" w:themeColor="text1"/>
        </w:rPr>
        <w:t xml:space="preserve"> semi</w:t>
      </w:r>
      <w:r w:rsidR="000633FA">
        <w:rPr>
          <w:rFonts w:cs="Times New Roman"/>
          <w:color w:val="000000" w:themeColor="text1"/>
        </w:rPr>
        <w:t>-structured questionnaire</w:t>
      </w:r>
      <w:r w:rsidR="00462558" w:rsidRPr="00F05B7E">
        <w:rPr>
          <w:rFonts w:cs="Times New Roman"/>
          <w:color w:val="000000" w:themeColor="text1"/>
        </w:rPr>
        <w:t xml:space="preserve"> asked about the impacts of the recent changes in the oil price on the logistics and SC activities within their own organisations (if managers); or of their understanding of such changes more generally (if lecturers). The q</w:t>
      </w:r>
      <w:r w:rsidRPr="00F05B7E">
        <w:rPr>
          <w:rFonts w:cs="Times New Roman"/>
          <w:color w:val="000000" w:themeColor="text1"/>
        </w:rPr>
        <w:t xml:space="preserve">uestionnaire </w:t>
      </w:r>
      <w:r w:rsidR="00462558" w:rsidRPr="00F05B7E">
        <w:rPr>
          <w:rFonts w:cs="Times New Roman"/>
          <w:color w:val="000000" w:themeColor="text1"/>
        </w:rPr>
        <w:t>also asked respondents of their vie</w:t>
      </w:r>
      <w:r w:rsidR="00065714" w:rsidRPr="00F05B7E">
        <w:rPr>
          <w:rFonts w:cs="Times New Roman"/>
          <w:color w:val="000000" w:themeColor="text1"/>
        </w:rPr>
        <w:t>ws of the likely price of oil over</w:t>
      </w:r>
      <w:r w:rsidR="00462558" w:rsidRPr="00F05B7E">
        <w:rPr>
          <w:rFonts w:cs="Times New Roman"/>
          <w:color w:val="000000" w:themeColor="text1"/>
        </w:rPr>
        <w:t xml:space="preserve"> </w:t>
      </w:r>
      <w:r w:rsidRPr="00F05B7E">
        <w:rPr>
          <w:rFonts w:cs="Times New Roman"/>
          <w:color w:val="000000" w:themeColor="text1"/>
        </w:rPr>
        <w:t xml:space="preserve">various </w:t>
      </w:r>
      <w:r w:rsidR="000633FA">
        <w:rPr>
          <w:rFonts w:cs="Times New Roman"/>
          <w:color w:val="000000" w:themeColor="text1"/>
        </w:rPr>
        <w:t>future periods out to</w:t>
      </w:r>
      <w:r w:rsidR="00462558" w:rsidRPr="00F05B7E">
        <w:rPr>
          <w:rFonts w:cs="Times New Roman"/>
          <w:color w:val="000000" w:themeColor="text1"/>
        </w:rPr>
        <w:t xml:space="preserve"> 10 years</w:t>
      </w:r>
      <w:r w:rsidR="000633FA">
        <w:rPr>
          <w:rFonts w:cs="Times New Roman"/>
          <w:color w:val="000000" w:themeColor="text1"/>
        </w:rPr>
        <w:t>’ hence, and</w:t>
      </w:r>
      <w:r w:rsidR="00462558" w:rsidRPr="00F05B7E">
        <w:rPr>
          <w:rFonts w:cs="Times New Roman"/>
          <w:color w:val="000000" w:themeColor="text1"/>
        </w:rPr>
        <w:t xml:space="preserve"> of the consequent changes they anticipated on logistics and SC activities. The survey included a number of ‘open-ended’ questions, as well as space for wider comments, to allow respondents to amplify their views.</w:t>
      </w:r>
    </w:p>
    <w:p w14:paraId="6848EF4D" w14:textId="77777777" w:rsidR="00462558" w:rsidRPr="00D26378" w:rsidRDefault="00462558" w:rsidP="00A20E38">
      <w:pPr>
        <w:jc w:val="both"/>
        <w:rPr>
          <w:rFonts w:cs="Times New Roman"/>
          <w:color w:val="000000" w:themeColor="text1"/>
          <w:sz w:val="14"/>
        </w:rPr>
      </w:pPr>
    </w:p>
    <w:p w14:paraId="54C24E35" w14:textId="5DBE948E" w:rsidR="00843829" w:rsidRPr="00D9254F" w:rsidRDefault="00462558" w:rsidP="00A20E38">
      <w:pPr>
        <w:jc w:val="both"/>
        <w:rPr>
          <w:rFonts w:cs="Times New Roman"/>
          <w:color w:val="000000" w:themeColor="text1"/>
        </w:rPr>
      </w:pPr>
      <w:r w:rsidRPr="00F05B7E">
        <w:rPr>
          <w:rFonts w:cs="Times New Roman"/>
          <w:color w:val="000000" w:themeColor="text1"/>
        </w:rPr>
        <w:t>To obtain a good response rate and to ensure that replies were received o</w:t>
      </w:r>
      <w:r w:rsidR="00065714" w:rsidRPr="00F05B7E">
        <w:rPr>
          <w:rFonts w:cs="Times New Roman"/>
          <w:color w:val="000000" w:themeColor="text1"/>
        </w:rPr>
        <w:t xml:space="preserve">nly from the target groups, </w:t>
      </w:r>
      <w:r w:rsidR="00843829">
        <w:rPr>
          <w:rFonts w:cs="Times New Roman"/>
          <w:color w:val="000000" w:themeColor="text1"/>
        </w:rPr>
        <w:t xml:space="preserve">the </w:t>
      </w:r>
      <w:r w:rsidRPr="00F05B7E">
        <w:rPr>
          <w:rFonts w:cs="Times New Roman"/>
          <w:color w:val="000000" w:themeColor="text1"/>
        </w:rPr>
        <w:t>questionnaires were individually handed out and collected by the lead author, at a range industry logistic and SC events, and at related UK and international conferences. In addition, t</w:t>
      </w:r>
      <w:r w:rsidR="00843829">
        <w:rPr>
          <w:rFonts w:cs="Times New Roman"/>
          <w:color w:val="000000" w:themeColor="text1"/>
        </w:rPr>
        <w:t xml:space="preserve">he survey form was </w:t>
      </w:r>
      <w:r w:rsidRPr="00F05B7E">
        <w:rPr>
          <w:rFonts w:cs="Times New Roman"/>
          <w:color w:val="000000" w:themeColor="text1"/>
        </w:rPr>
        <w:t>kept short (10 questions), and anonymous, to assist the high response rate</w:t>
      </w:r>
      <w:r w:rsidR="00843829">
        <w:rPr>
          <w:rFonts w:cs="Times New Roman"/>
          <w:color w:val="000000" w:themeColor="text1"/>
        </w:rPr>
        <w:t xml:space="preserve">; in the event, of </w:t>
      </w:r>
      <w:r w:rsidRPr="00F05B7E">
        <w:rPr>
          <w:rFonts w:cs="Times New Roman"/>
          <w:color w:val="000000" w:themeColor="text1"/>
        </w:rPr>
        <w:t>over 90%. In addition to the target group, a small number of professionals within the oil industry were also surveyed to gain a more informed ‘insider view’ of the likely future evolution of th</w:t>
      </w:r>
      <w:r w:rsidR="00843829">
        <w:rPr>
          <w:rFonts w:cs="Times New Roman"/>
          <w:color w:val="000000" w:themeColor="text1"/>
        </w:rPr>
        <w:t>e oil price over the time-frame</w:t>
      </w:r>
      <w:r w:rsidRPr="00F05B7E">
        <w:rPr>
          <w:rFonts w:cs="Times New Roman"/>
          <w:color w:val="000000" w:themeColor="text1"/>
        </w:rPr>
        <w:t xml:space="preserve"> considered.</w:t>
      </w:r>
      <w:r w:rsidR="00843829">
        <w:rPr>
          <w:rFonts w:cs="Times New Roman"/>
          <w:color w:val="000000" w:themeColor="text1"/>
        </w:rPr>
        <w:t xml:space="preserve"> To-date three</w:t>
      </w:r>
      <w:r w:rsidRPr="00826E36">
        <w:rPr>
          <w:rFonts w:cs="Times New Roman"/>
          <w:color w:val="000000" w:themeColor="text1"/>
        </w:rPr>
        <w:t xml:space="preserve"> main </w:t>
      </w:r>
      <w:r w:rsidR="00843829">
        <w:rPr>
          <w:rFonts w:cs="Times New Roman"/>
          <w:color w:val="000000" w:themeColor="text1"/>
        </w:rPr>
        <w:t xml:space="preserve">survey rounds of </w:t>
      </w:r>
      <w:r w:rsidRPr="00826E36">
        <w:rPr>
          <w:rFonts w:cs="Times New Roman"/>
          <w:color w:val="000000" w:themeColor="text1"/>
        </w:rPr>
        <w:t>have been conducted</w:t>
      </w:r>
      <w:r w:rsidR="00843829">
        <w:rPr>
          <w:rFonts w:cs="Times New Roman"/>
          <w:color w:val="000000" w:themeColor="text1"/>
        </w:rPr>
        <w:t xml:space="preserve">, covering the period from February </w:t>
      </w:r>
      <w:r w:rsidRPr="00826E36">
        <w:rPr>
          <w:rFonts w:cs="Times New Roman"/>
          <w:color w:val="000000" w:themeColor="text1"/>
        </w:rPr>
        <w:t xml:space="preserve">2016 </w:t>
      </w:r>
      <w:r w:rsidR="00843829" w:rsidRPr="00D9254F">
        <w:rPr>
          <w:rFonts w:cs="Times New Roman"/>
          <w:color w:val="000000" w:themeColor="text1"/>
        </w:rPr>
        <w:t>to December 2017.</w:t>
      </w:r>
    </w:p>
    <w:p w14:paraId="1C65B5A7" w14:textId="0DEB1E4A" w:rsidR="00EA1C31" w:rsidRPr="00D26378" w:rsidRDefault="00EA1C31" w:rsidP="00A20E38">
      <w:pPr>
        <w:jc w:val="both"/>
        <w:rPr>
          <w:rFonts w:cs="Times New Roman"/>
          <w:color w:val="000000" w:themeColor="text1"/>
          <w:sz w:val="14"/>
        </w:rPr>
      </w:pPr>
    </w:p>
    <w:p w14:paraId="3187260D" w14:textId="4A75D18A" w:rsidR="00B70ED7" w:rsidRPr="00C7798C" w:rsidRDefault="00F05B7E" w:rsidP="00C7798C">
      <w:pPr>
        <w:pStyle w:val="ListParagraph"/>
        <w:numPr>
          <w:ilvl w:val="0"/>
          <w:numId w:val="41"/>
        </w:numPr>
        <w:ind w:left="284" w:hanging="284"/>
        <w:jc w:val="both"/>
        <w:rPr>
          <w:rFonts w:cs="Times New Roman"/>
          <w:i/>
          <w:color w:val="000000" w:themeColor="text1"/>
          <w:u w:val="single"/>
        </w:rPr>
      </w:pPr>
      <w:r w:rsidRPr="00C7798C">
        <w:rPr>
          <w:rFonts w:cs="Times New Roman"/>
          <w:b/>
          <w:color w:val="000000" w:themeColor="text1"/>
          <w:u w:val="single"/>
        </w:rPr>
        <w:t>Research Findings</w:t>
      </w:r>
    </w:p>
    <w:p w14:paraId="3C6F3EDA" w14:textId="54ED577F" w:rsidR="00DC4D34" w:rsidRPr="00843829" w:rsidRDefault="00B70ED7" w:rsidP="00A20E38">
      <w:pPr>
        <w:jc w:val="both"/>
        <w:rPr>
          <w:rFonts w:cs="Times New Roman"/>
          <w:color w:val="000000" w:themeColor="text1"/>
        </w:rPr>
      </w:pPr>
      <w:r w:rsidRPr="00843829">
        <w:rPr>
          <w:rFonts w:cs="Times New Roman"/>
          <w:color w:val="000000" w:themeColor="text1"/>
        </w:rPr>
        <w:t>Research findings from the first survey round are given in Bentley et al. (2</w:t>
      </w:r>
      <w:r w:rsidR="00843829" w:rsidRPr="00843829">
        <w:rPr>
          <w:rFonts w:cs="Times New Roman"/>
          <w:color w:val="000000" w:themeColor="text1"/>
        </w:rPr>
        <w:t xml:space="preserve">016); and from the second </w:t>
      </w:r>
      <w:r w:rsidRPr="00843829">
        <w:rPr>
          <w:rFonts w:cs="Times New Roman"/>
          <w:color w:val="000000" w:themeColor="text1"/>
        </w:rPr>
        <w:t>in Bentley et al. (2017).</w:t>
      </w:r>
      <w:r w:rsidR="00843829" w:rsidRPr="00843829">
        <w:rPr>
          <w:rFonts w:cs="Times New Roman"/>
          <w:color w:val="000000" w:themeColor="text1"/>
        </w:rPr>
        <w:t xml:space="preserve"> R</w:t>
      </w:r>
      <w:r w:rsidR="00335DD3" w:rsidRPr="00843829">
        <w:rPr>
          <w:rFonts w:cs="Times New Roman"/>
          <w:color w:val="000000" w:themeColor="text1"/>
        </w:rPr>
        <w:t xml:space="preserve">esponses </w:t>
      </w:r>
      <w:r w:rsidR="00462558" w:rsidRPr="00843829">
        <w:rPr>
          <w:rFonts w:cs="Times New Roman"/>
          <w:color w:val="000000" w:themeColor="text1"/>
        </w:rPr>
        <w:t>were analysed using both qualitative and quantitative methods</w:t>
      </w:r>
      <w:r w:rsidR="00843829" w:rsidRPr="00843829">
        <w:rPr>
          <w:rFonts w:cs="Times New Roman"/>
          <w:color w:val="000000" w:themeColor="text1"/>
        </w:rPr>
        <w:t xml:space="preserve"> (via SPSS)</w:t>
      </w:r>
      <w:r w:rsidR="00462558" w:rsidRPr="00843829">
        <w:rPr>
          <w:rFonts w:cs="Times New Roman"/>
          <w:color w:val="000000" w:themeColor="text1"/>
        </w:rPr>
        <w:t xml:space="preserve">. </w:t>
      </w:r>
      <w:r w:rsidR="00DC4D34" w:rsidRPr="00843829">
        <w:rPr>
          <w:rFonts w:cs="Times New Roman"/>
          <w:color w:val="000000" w:themeColor="text1"/>
        </w:rPr>
        <w:t>Questions 1 to 3 asked about the category of organisation of the respondent, the organisation’s size, and the respondent’s role within the organisation. Of the respondents</w:t>
      </w:r>
      <w:r w:rsidR="00843829" w:rsidRPr="00843829">
        <w:rPr>
          <w:rFonts w:cs="Times New Roman"/>
          <w:color w:val="000000" w:themeColor="text1"/>
        </w:rPr>
        <w:t>,</w:t>
      </w:r>
      <w:r w:rsidR="00DC4D34" w:rsidRPr="00843829">
        <w:rPr>
          <w:rFonts w:cs="Times New Roman"/>
          <w:color w:val="000000" w:themeColor="text1"/>
        </w:rPr>
        <w:t xml:space="preserve"> 38% were in senior managerial positions in logistics and SC companies, and a similar percentage were academics within universities. About two-thirds of the respondents were </w:t>
      </w:r>
      <w:r w:rsidR="00843829" w:rsidRPr="00843829">
        <w:rPr>
          <w:rFonts w:cs="Times New Roman"/>
          <w:color w:val="000000" w:themeColor="text1"/>
        </w:rPr>
        <w:t xml:space="preserve">from large organisations </w:t>
      </w:r>
      <w:r w:rsidR="00DC4D34" w:rsidRPr="00843829">
        <w:rPr>
          <w:rFonts w:cs="Times New Roman"/>
          <w:color w:val="000000" w:themeColor="text1"/>
        </w:rPr>
        <w:t>having &gt;250 employees. Overall, the sample of respondents were diverse in terms of industries covered, organization sizes, and positions held; in line with the research goals.</w:t>
      </w:r>
    </w:p>
    <w:p w14:paraId="12CB18C0" w14:textId="77777777" w:rsidR="00DC4D34" w:rsidRPr="00D26378" w:rsidRDefault="00DC4D34" w:rsidP="00A20E38">
      <w:pPr>
        <w:autoSpaceDE w:val="0"/>
        <w:autoSpaceDN w:val="0"/>
        <w:adjustRightInd w:val="0"/>
        <w:jc w:val="both"/>
        <w:rPr>
          <w:rFonts w:cs="Times New Roman"/>
          <w:color w:val="000000" w:themeColor="text1"/>
          <w:sz w:val="14"/>
        </w:rPr>
      </w:pPr>
    </w:p>
    <w:p w14:paraId="69A79C37" w14:textId="7FFC7ADF" w:rsidR="00DC4D34" w:rsidRDefault="00DC4D34" w:rsidP="00BE4AFC">
      <w:pPr>
        <w:autoSpaceDE w:val="0"/>
        <w:autoSpaceDN w:val="0"/>
        <w:adjustRightInd w:val="0"/>
        <w:jc w:val="both"/>
        <w:rPr>
          <w:rFonts w:eastAsiaTheme="minorEastAsia" w:cs="Times New Roman"/>
          <w:color w:val="000000" w:themeColor="text1"/>
          <w:lang w:eastAsia="zh-CN"/>
        </w:rPr>
      </w:pPr>
      <w:r w:rsidRPr="00843829">
        <w:rPr>
          <w:rFonts w:cs="Times New Roman"/>
          <w:color w:val="000000" w:themeColor="text1"/>
        </w:rPr>
        <w:lastRenderedPageBreak/>
        <w:t xml:space="preserve">Questions 4 </w:t>
      </w:r>
      <w:r w:rsidR="00843829">
        <w:rPr>
          <w:rFonts w:cs="Times New Roman"/>
          <w:color w:val="000000" w:themeColor="text1"/>
        </w:rPr>
        <w:t xml:space="preserve">to 6 focussed on the recent changes in oil price, </w:t>
      </w:r>
      <w:r w:rsidRPr="00843829">
        <w:rPr>
          <w:rFonts w:cs="Times New Roman"/>
          <w:color w:val="000000" w:themeColor="text1"/>
        </w:rPr>
        <w:t>from &gt; $80/bbl for most of the period from 2007 up to 2014, down to ~$35/bbl at the time of the first survey round,</w:t>
      </w:r>
      <w:r w:rsidR="00843829">
        <w:rPr>
          <w:rFonts w:cs="Times New Roman"/>
          <w:color w:val="000000" w:themeColor="text1"/>
        </w:rPr>
        <w:t xml:space="preserve"> and back up to ~$45 to $50/bbl</w:t>
      </w:r>
      <w:r w:rsidRPr="00843829">
        <w:rPr>
          <w:rFonts w:cs="Times New Roman"/>
          <w:color w:val="000000" w:themeColor="text1"/>
        </w:rPr>
        <w:t xml:space="preserve"> by the second round. </w:t>
      </w:r>
      <w:r w:rsidR="00843829">
        <w:rPr>
          <w:rFonts w:cs="Times New Roman"/>
          <w:color w:val="000000" w:themeColor="text1"/>
        </w:rPr>
        <w:t>Analysis of these responses</w:t>
      </w:r>
      <w:r w:rsidR="00843829" w:rsidRPr="00843829">
        <w:rPr>
          <w:rFonts w:cs="Times New Roman"/>
          <w:color w:val="000000" w:themeColor="text1"/>
        </w:rPr>
        <w:t xml:space="preserve"> are</w:t>
      </w:r>
      <w:r w:rsidR="00843829">
        <w:rPr>
          <w:rFonts w:cs="Times New Roman"/>
          <w:color w:val="000000" w:themeColor="text1"/>
        </w:rPr>
        <w:t xml:space="preserve"> given</w:t>
      </w:r>
      <w:r w:rsidR="00843829" w:rsidRPr="00843829">
        <w:rPr>
          <w:rFonts w:cs="Times New Roman"/>
          <w:color w:val="000000" w:themeColor="text1"/>
        </w:rPr>
        <w:t xml:space="preserve"> in Bentley et al</w:t>
      </w:r>
      <w:r w:rsidR="00843829">
        <w:rPr>
          <w:rFonts w:cs="Times New Roman"/>
          <w:color w:val="000000" w:themeColor="text1"/>
        </w:rPr>
        <w:t>.</w:t>
      </w:r>
      <w:r w:rsidR="00843829" w:rsidRPr="00843829">
        <w:rPr>
          <w:rFonts w:cs="Times New Roman"/>
          <w:color w:val="000000" w:themeColor="text1"/>
        </w:rPr>
        <w:t xml:space="preserve"> (2016</w:t>
      </w:r>
      <w:r w:rsidR="0072792B">
        <w:rPr>
          <w:rFonts w:cs="Times New Roman"/>
          <w:color w:val="000000" w:themeColor="text1"/>
        </w:rPr>
        <w:t>;</w:t>
      </w:r>
      <w:r w:rsidR="00843829" w:rsidRPr="00843829">
        <w:rPr>
          <w:rFonts w:cs="Times New Roman"/>
          <w:color w:val="000000" w:themeColor="text1"/>
        </w:rPr>
        <w:t xml:space="preserve"> 2017).</w:t>
      </w:r>
      <w:r w:rsidR="00BE4AFC">
        <w:rPr>
          <w:rFonts w:cs="Times New Roman"/>
          <w:color w:val="000000" w:themeColor="text1"/>
        </w:rPr>
        <w:t xml:space="preserve">  </w:t>
      </w:r>
      <w:r w:rsidRPr="00843829">
        <w:rPr>
          <w:rFonts w:eastAsiaTheme="minorEastAsia" w:cs="Times New Roman"/>
          <w:color w:val="000000" w:themeColor="text1"/>
          <w:lang w:eastAsia="zh-CN"/>
        </w:rPr>
        <w:t xml:space="preserve">Questions 7 to 9 focussed on the future price of oil, and asked respondents: </w:t>
      </w:r>
    </w:p>
    <w:p w14:paraId="1402B5A6" w14:textId="77777777" w:rsidR="00C7798C" w:rsidRPr="00D26378" w:rsidRDefault="00C7798C" w:rsidP="00BE4AFC">
      <w:pPr>
        <w:autoSpaceDE w:val="0"/>
        <w:autoSpaceDN w:val="0"/>
        <w:adjustRightInd w:val="0"/>
        <w:jc w:val="both"/>
        <w:rPr>
          <w:rFonts w:eastAsiaTheme="minorEastAsia" w:cs="Times New Roman"/>
          <w:color w:val="000000" w:themeColor="text1"/>
          <w:sz w:val="14"/>
          <w:lang w:eastAsia="zh-CN"/>
        </w:rPr>
      </w:pPr>
    </w:p>
    <w:p w14:paraId="5E20C863" w14:textId="77777777" w:rsidR="00DC4D34" w:rsidRPr="00843829" w:rsidRDefault="00DC4D34" w:rsidP="00826E36">
      <w:pPr>
        <w:pStyle w:val="ListParagraph"/>
        <w:numPr>
          <w:ilvl w:val="0"/>
          <w:numId w:val="30"/>
        </w:numPr>
        <w:autoSpaceDE w:val="0"/>
        <w:autoSpaceDN w:val="0"/>
        <w:adjustRightInd w:val="0"/>
        <w:jc w:val="both"/>
        <w:rPr>
          <w:rFonts w:eastAsiaTheme="minorEastAsia" w:cs="Times New Roman"/>
          <w:color w:val="000000" w:themeColor="text1"/>
          <w:lang w:eastAsia="zh-CN"/>
        </w:rPr>
      </w:pPr>
      <w:r w:rsidRPr="00843829">
        <w:rPr>
          <w:rFonts w:eastAsiaTheme="minorEastAsia" w:cs="Times New Roman"/>
          <w:color w:val="000000" w:themeColor="text1"/>
          <w:lang w:eastAsia="zh-CN"/>
        </w:rPr>
        <w:t>Q7: Their expectations of this price at six future dates, see Table 1 below.</w:t>
      </w:r>
    </w:p>
    <w:p w14:paraId="2AB47913" w14:textId="77777777" w:rsidR="00DC4D34" w:rsidRPr="00843829" w:rsidRDefault="00DC4D34" w:rsidP="00826E36">
      <w:pPr>
        <w:pStyle w:val="ListParagraph"/>
        <w:numPr>
          <w:ilvl w:val="0"/>
          <w:numId w:val="30"/>
        </w:numPr>
        <w:autoSpaceDE w:val="0"/>
        <w:autoSpaceDN w:val="0"/>
        <w:adjustRightInd w:val="0"/>
        <w:jc w:val="both"/>
        <w:rPr>
          <w:rFonts w:eastAsiaTheme="minorEastAsia" w:cs="Times New Roman"/>
          <w:color w:val="000000" w:themeColor="text1"/>
          <w:lang w:eastAsia="zh-CN"/>
        </w:rPr>
      </w:pPr>
      <w:r w:rsidRPr="00843829">
        <w:rPr>
          <w:rFonts w:eastAsiaTheme="minorEastAsia" w:cs="Times New Roman"/>
          <w:color w:val="000000" w:themeColor="text1"/>
          <w:lang w:eastAsia="zh-CN"/>
        </w:rPr>
        <w:t>Q8: Their reasons underlying these price expectations.</w:t>
      </w:r>
    </w:p>
    <w:p w14:paraId="68959216" w14:textId="77777777" w:rsidR="00DC4D34" w:rsidRDefault="00DC4D34" w:rsidP="00826E36">
      <w:pPr>
        <w:pStyle w:val="ListParagraph"/>
        <w:numPr>
          <w:ilvl w:val="0"/>
          <w:numId w:val="30"/>
        </w:numPr>
        <w:autoSpaceDE w:val="0"/>
        <w:autoSpaceDN w:val="0"/>
        <w:adjustRightInd w:val="0"/>
        <w:jc w:val="both"/>
        <w:rPr>
          <w:rFonts w:eastAsiaTheme="minorEastAsia" w:cs="Times New Roman"/>
          <w:color w:val="000000" w:themeColor="text1"/>
          <w:lang w:eastAsia="zh-CN"/>
        </w:rPr>
      </w:pPr>
      <w:r w:rsidRPr="00FD5069">
        <w:rPr>
          <w:rFonts w:eastAsiaTheme="minorEastAsia" w:cs="Times New Roman"/>
          <w:color w:val="000000" w:themeColor="text1"/>
          <w:lang w:eastAsia="zh-CN"/>
        </w:rPr>
        <w:t>Q9: How their predicted oil prices would impact future logistics and SC activity.</w:t>
      </w:r>
    </w:p>
    <w:p w14:paraId="5874CFD4" w14:textId="77777777" w:rsidR="00BE4AFC" w:rsidRPr="00D26378" w:rsidRDefault="00BE4AFC" w:rsidP="00BE4AFC">
      <w:pPr>
        <w:pStyle w:val="ListParagraph"/>
        <w:autoSpaceDE w:val="0"/>
        <w:autoSpaceDN w:val="0"/>
        <w:adjustRightInd w:val="0"/>
        <w:jc w:val="both"/>
        <w:rPr>
          <w:rFonts w:eastAsiaTheme="minorEastAsia" w:cs="Times New Roman"/>
          <w:color w:val="000000" w:themeColor="text1"/>
          <w:sz w:val="14"/>
          <w:lang w:eastAsia="zh-CN"/>
        </w:rPr>
      </w:pPr>
    </w:p>
    <w:p w14:paraId="4D123B12" w14:textId="7F64DE4E" w:rsidR="00DC4D34" w:rsidRDefault="00BE4AFC" w:rsidP="00E52F71">
      <w:pPr>
        <w:autoSpaceDE w:val="0"/>
        <w:autoSpaceDN w:val="0"/>
        <w:adjustRightInd w:val="0"/>
        <w:jc w:val="both"/>
        <w:rPr>
          <w:rFonts w:eastAsiaTheme="minorEastAsia" w:cs="Times New Roman"/>
          <w:color w:val="000000" w:themeColor="text1"/>
          <w:lang w:eastAsia="zh-CN"/>
        </w:rPr>
      </w:pPr>
      <w:r w:rsidRPr="00FD5069">
        <w:rPr>
          <w:rFonts w:eastAsiaTheme="minorEastAsia" w:cs="Times New Roman"/>
          <w:color w:val="000000" w:themeColor="text1"/>
          <w:lang w:eastAsia="zh-CN"/>
        </w:rPr>
        <w:t xml:space="preserve">Table 1 shows that respondents’ views on likely future oil prices exhibited a general trend that oil price will be similar or lower in the short-term, but higher in the long-term. </w:t>
      </w:r>
      <w:r w:rsidRPr="00D9254F">
        <w:rPr>
          <w:rFonts w:eastAsiaTheme="minorEastAsia" w:cs="Times New Roman"/>
          <w:color w:val="000000" w:themeColor="text1"/>
          <w:lang w:eastAsia="zh-CN"/>
        </w:rPr>
        <w:t>However, a</w:t>
      </w:r>
      <w:r w:rsidR="00221123" w:rsidRPr="00D9254F">
        <w:rPr>
          <w:rFonts w:eastAsiaTheme="minorEastAsia" w:cs="Times New Roman"/>
          <w:color w:val="000000" w:themeColor="text1"/>
          <w:lang w:eastAsia="zh-CN"/>
        </w:rPr>
        <w:t>s</w:t>
      </w:r>
      <w:r w:rsidRPr="00D9254F">
        <w:rPr>
          <w:rFonts w:eastAsiaTheme="minorEastAsia" w:cs="Times New Roman"/>
          <w:color w:val="000000" w:themeColor="text1"/>
          <w:lang w:eastAsia="zh-CN"/>
        </w:rPr>
        <w:t xml:space="preserve"> shown, price </w:t>
      </w:r>
      <w:r w:rsidRPr="00FD5069">
        <w:rPr>
          <w:rFonts w:eastAsiaTheme="minorEastAsia" w:cs="Times New Roman"/>
          <w:color w:val="000000" w:themeColor="text1"/>
          <w:lang w:eastAsia="zh-CN"/>
        </w:rPr>
        <w:t>expectations were diverse, and quite polarised between high vs. low prices.</w:t>
      </w:r>
    </w:p>
    <w:p w14:paraId="5BB14B26" w14:textId="77777777" w:rsidR="00C7798C" w:rsidRPr="00D26378" w:rsidRDefault="00C7798C" w:rsidP="00E52F71">
      <w:pPr>
        <w:autoSpaceDE w:val="0"/>
        <w:autoSpaceDN w:val="0"/>
        <w:adjustRightInd w:val="0"/>
        <w:jc w:val="both"/>
        <w:rPr>
          <w:rFonts w:eastAsiaTheme="minorEastAsia" w:cs="Times New Roman"/>
          <w:color w:val="000000" w:themeColor="text1"/>
          <w:sz w:val="14"/>
          <w:lang w:eastAsia="zh-CN"/>
        </w:rPr>
      </w:pPr>
    </w:p>
    <w:tbl>
      <w:tblPr>
        <w:tblStyle w:val="TableGrid"/>
        <w:tblW w:w="8893" w:type="dxa"/>
        <w:jc w:val="center"/>
        <w:tblLayout w:type="fixed"/>
        <w:tblLook w:val="04A0" w:firstRow="1" w:lastRow="0" w:firstColumn="1" w:lastColumn="0" w:noHBand="0" w:noVBand="1"/>
      </w:tblPr>
      <w:tblGrid>
        <w:gridCol w:w="1492"/>
        <w:gridCol w:w="1246"/>
        <w:gridCol w:w="1231"/>
        <w:gridCol w:w="1231"/>
        <w:gridCol w:w="1216"/>
        <w:gridCol w:w="1294"/>
        <w:gridCol w:w="1183"/>
      </w:tblGrid>
      <w:tr w:rsidR="00FD5069" w:rsidRPr="00FD5069" w14:paraId="639861CD" w14:textId="77777777" w:rsidTr="00C7798C">
        <w:trPr>
          <w:trHeight w:val="274"/>
          <w:jc w:val="center"/>
        </w:trPr>
        <w:tc>
          <w:tcPr>
            <w:tcW w:w="1492" w:type="dxa"/>
          </w:tcPr>
          <w:p w14:paraId="4F70FCA7" w14:textId="77777777" w:rsidR="00DC4D34" w:rsidRPr="00E52F71" w:rsidRDefault="00DC4D34" w:rsidP="00826E36">
            <w:pPr>
              <w:jc w:val="both"/>
              <w:rPr>
                <w:rFonts w:cstheme="minorHAnsi"/>
                <w:b/>
                <w:i/>
                <w:color w:val="000000" w:themeColor="text1"/>
                <w:sz w:val="20"/>
                <w:szCs w:val="20"/>
              </w:rPr>
            </w:pPr>
            <w:r w:rsidRPr="00E52F71">
              <w:rPr>
                <w:rFonts w:cstheme="minorHAnsi"/>
                <w:b/>
                <w:i/>
                <w:color w:val="000000" w:themeColor="text1"/>
                <w:sz w:val="20"/>
                <w:szCs w:val="20"/>
              </w:rPr>
              <w:t>Length of time</w:t>
            </w:r>
          </w:p>
        </w:tc>
        <w:tc>
          <w:tcPr>
            <w:tcW w:w="1246" w:type="dxa"/>
          </w:tcPr>
          <w:p w14:paraId="3C9967B6" w14:textId="77777777" w:rsidR="00DC4D34" w:rsidRPr="00E52F71" w:rsidRDefault="00DC4D34" w:rsidP="00826E36">
            <w:pPr>
              <w:jc w:val="both"/>
              <w:rPr>
                <w:rFonts w:cstheme="minorHAnsi"/>
                <w:b/>
                <w:i/>
                <w:color w:val="000000" w:themeColor="text1"/>
                <w:sz w:val="20"/>
                <w:szCs w:val="20"/>
              </w:rPr>
            </w:pPr>
            <w:r w:rsidRPr="00E52F71">
              <w:rPr>
                <w:rFonts w:cstheme="minorHAnsi"/>
                <w:b/>
                <w:i/>
                <w:color w:val="000000" w:themeColor="text1"/>
                <w:sz w:val="20"/>
                <w:szCs w:val="20"/>
              </w:rPr>
              <w:t>&lt;$30/bbl</w:t>
            </w:r>
          </w:p>
        </w:tc>
        <w:tc>
          <w:tcPr>
            <w:tcW w:w="1231" w:type="dxa"/>
          </w:tcPr>
          <w:p w14:paraId="1CCA3FF2" w14:textId="2CF39C49" w:rsidR="00DC4D34" w:rsidRPr="00E52F71" w:rsidRDefault="00DC4D34" w:rsidP="00826E36">
            <w:pPr>
              <w:jc w:val="both"/>
              <w:rPr>
                <w:rFonts w:cstheme="minorHAnsi"/>
                <w:b/>
                <w:i/>
                <w:color w:val="000000" w:themeColor="text1"/>
                <w:sz w:val="20"/>
                <w:szCs w:val="20"/>
              </w:rPr>
            </w:pPr>
            <w:r w:rsidRPr="00E52F71">
              <w:rPr>
                <w:rFonts w:cstheme="minorHAnsi"/>
                <w:b/>
                <w:i/>
                <w:color w:val="000000" w:themeColor="text1"/>
                <w:sz w:val="20"/>
                <w:szCs w:val="20"/>
              </w:rPr>
              <w:t>$30-40/bbl</w:t>
            </w:r>
          </w:p>
        </w:tc>
        <w:tc>
          <w:tcPr>
            <w:tcW w:w="1231" w:type="dxa"/>
          </w:tcPr>
          <w:p w14:paraId="2D485B37" w14:textId="2225EE72" w:rsidR="00DC4D34" w:rsidRPr="00E52F71" w:rsidRDefault="00DC4D34" w:rsidP="00826E36">
            <w:pPr>
              <w:jc w:val="both"/>
              <w:rPr>
                <w:rFonts w:cstheme="minorHAnsi"/>
                <w:b/>
                <w:i/>
                <w:color w:val="000000" w:themeColor="text1"/>
                <w:sz w:val="20"/>
                <w:szCs w:val="20"/>
              </w:rPr>
            </w:pPr>
            <w:r w:rsidRPr="00E52F71">
              <w:rPr>
                <w:rFonts w:cstheme="minorHAnsi"/>
                <w:b/>
                <w:i/>
                <w:color w:val="000000" w:themeColor="text1"/>
                <w:sz w:val="20"/>
                <w:szCs w:val="20"/>
              </w:rPr>
              <w:t>$40-60/bbl</w:t>
            </w:r>
          </w:p>
        </w:tc>
        <w:tc>
          <w:tcPr>
            <w:tcW w:w="1216" w:type="dxa"/>
          </w:tcPr>
          <w:p w14:paraId="7152370E" w14:textId="1253A953" w:rsidR="00DC4D34" w:rsidRPr="00E52F71" w:rsidRDefault="00DC4D34" w:rsidP="00826E36">
            <w:pPr>
              <w:jc w:val="both"/>
              <w:rPr>
                <w:rFonts w:cstheme="minorHAnsi"/>
                <w:b/>
                <w:i/>
                <w:color w:val="000000" w:themeColor="text1"/>
                <w:sz w:val="20"/>
                <w:szCs w:val="20"/>
              </w:rPr>
            </w:pPr>
            <w:r w:rsidRPr="00E52F71">
              <w:rPr>
                <w:rFonts w:cstheme="minorHAnsi"/>
                <w:b/>
                <w:i/>
                <w:color w:val="000000" w:themeColor="text1"/>
                <w:sz w:val="20"/>
                <w:szCs w:val="20"/>
              </w:rPr>
              <w:t>$60-90/bbl</w:t>
            </w:r>
          </w:p>
        </w:tc>
        <w:tc>
          <w:tcPr>
            <w:tcW w:w="1294" w:type="dxa"/>
          </w:tcPr>
          <w:p w14:paraId="7A16F6FD" w14:textId="77777777" w:rsidR="00DC4D34" w:rsidRPr="00E52F71" w:rsidRDefault="00DC4D34" w:rsidP="00826E36">
            <w:pPr>
              <w:jc w:val="both"/>
              <w:rPr>
                <w:rFonts w:cstheme="minorHAnsi"/>
                <w:b/>
                <w:i/>
                <w:color w:val="000000" w:themeColor="text1"/>
                <w:sz w:val="20"/>
                <w:szCs w:val="20"/>
              </w:rPr>
            </w:pPr>
            <w:r w:rsidRPr="00E52F71">
              <w:rPr>
                <w:rFonts w:cstheme="minorHAnsi"/>
                <w:b/>
                <w:i/>
                <w:color w:val="000000" w:themeColor="text1"/>
                <w:sz w:val="20"/>
                <w:szCs w:val="20"/>
              </w:rPr>
              <w:t>$90-120/bbl</w:t>
            </w:r>
          </w:p>
        </w:tc>
        <w:tc>
          <w:tcPr>
            <w:tcW w:w="1183" w:type="dxa"/>
          </w:tcPr>
          <w:p w14:paraId="5E0E3F1F" w14:textId="77777777" w:rsidR="00DC4D34" w:rsidRPr="00E52F71" w:rsidRDefault="00DC4D34" w:rsidP="00826E36">
            <w:pPr>
              <w:jc w:val="both"/>
              <w:rPr>
                <w:rFonts w:cstheme="minorHAnsi"/>
                <w:b/>
                <w:i/>
                <w:color w:val="000000" w:themeColor="text1"/>
                <w:sz w:val="20"/>
                <w:szCs w:val="20"/>
              </w:rPr>
            </w:pPr>
            <w:r w:rsidRPr="00E52F71">
              <w:rPr>
                <w:rFonts w:cstheme="minorHAnsi"/>
                <w:b/>
                <w:i/>
                <w:color w:val="000000" w:themeColor="text1"/>
                <w:sz w:val="20"/>
                <w:szCs w:val="20"/>
              </w:rPr>
              <w:t>&gt;$120/bbl</w:t>
            </w:r>
          </w:p>
        </w:tc>
      </w:tr>
      <w:tr w:rsidR="00FD5069" w:rsidRPr="00FD5069" w14:paraId="77C0FDE8" w14:textId="77777777" w:rsidTr="00C7798C">
        <w:trPr>
          <w:jc w:val="center"/>
        </w:trPr>
        <w:tc>
          <w:tcPr>
            <w:tcW w:w="1492" w:type="dxa"/>
          </w:tcPr>
          <w:p w14:paraId="67ECD1A2"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3 months</w:t>
            </w:r>
          </w:p>
        </w:tc>
        <w:tc>
          <w:tcPr>
            <w:tcW w:w="1246" w:type="dxa"/>
          </w:tcPr>
          <w:p w14:paraId="03331DBB"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13.5%</w:t>
            </w:r>
            <w:r w:rsidRPr="00FD5069">
              <w:rPr>
                <w:rFonts w:cstheme="minorHAnsi"/>
                <w:color w:val="000000" w:themeColor="text1"/>
                <w:sz w:val="20"/>
                <w:szCs w:val="20"/>
                <w:vertAlign w:val="superscript"/>
              </w:rPr>
              <w:t>*</w:t>
            </w:r>
            <w:r w:rsidRPr="00FD5069">
              <w:rPr>
                <w:rFonts w:cstheme="minorHAnsi"/>
                <w:color w:val="000000" w:themeColor="text1"/>
                <w:sz w:val="20"/>
                <w:szCs w:val="20"/>
              </w:rPr>
              <w:t xml:space="preserve"> (7^)</w:t>
            </w:r>
          </w:p>
        </w:tc>
        <w:tc>
          <w:tcPr>
            <w:tcW w:w="1231" w:type="dxa"/>
          </w:tcPr>
          <w:p w14:paraId="5B08354C"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30.8% (16)</w:t>
            </w:r>
          </w:p>
        </w:tc>
        <w:tc>
          <w:tcPr>
            <w:tcW w:w="1231" w:type="dxa"/>
          </w:tcPr>
          <w:p w14:paraId="64F17E73"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51.9% (27)</w:t>
            </w:r>
          </w:p>
        </w:tc>
        <w:tc>
          <w:tcPr>
            <w:tcW w:w="1216" w:type="dxa"/>
          </w:tcPr>
          <w:p w14:paraId="1F8CEA74"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3.8%(2)</w:t>
            </w:r>
          </w:p>
        </w:tc>
        <w:tc>
          <w:tcPr>
            <w:tcW w:w="1294" w:type="dxa"/>
          </w:tcPr>
          <w:p w14:paraId="7C0B3476"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w:t>
            </w:r>
          </w:p>
        </w:tc>
        <w:tc>
          <w:tcPr>
            <w:tcW w:w="1183" w:type="dxa"/>
          </w:tcPr>
          <w:p w14:paraId="54E88847"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w:t>
            </w:r>
          </w:p>
        </w:tc>
      </w:tr>
      <w:tr w:rsidR="00FD5069" w:rsidRPr="00FD5069" w14:paraId="3F2A361D" w14:textId="77777777" w:rsidTr="00C7798C">
        <w:trPr>
          <w:jc w:val="center"/>
        </w:trPr>
        <w:tc>
          <w:tcPr>
            <w:tcW w:w="1492" w:type="dxa"/>
          </w:tcPr>
          <w:p w14:paraId="41D99F9F"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6 months</w:t>
            </w:r>
          </w:p>
        </w:tc>
        <w:tc>
          <w:tcPr>
            <w:tcW w:w="1246" w:type="dxa"/>
          </w:tcPr>
          <w:p w14:paraId="54CD77CB"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14.3% (7)</w:t>
            </w:r>
          </w:p>
        </w:tc>
        <w:tc>
          <w:tcPr>
            <w:tcW w:w="1231" w:type="dxa"/>
          </w:tcPr>
          <w:p w14:paraId="69798933"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16.3% (8)</w:t>
            </w:r>
          </w:p>
        </w:tc>
        <w:tc>
          <w:tcPr>
            <w:tcW w:w="1231" w:type="dxa"/>
          </w:tcPr>
          <w:p w14:paraId="76915D4A"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61.2% (30)</w:t>
            </w:r>
          </w:p>
        </w:tc>
        <w:tc>
          <w:tcPr>
            <w:tcW w:w="1216" w:type="dxa"/>
          </w:tcPr>
          <w:p w14:paraId="41B4D213"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8.2%(4)</w:t>
            </w:r>
          </w:p>
        </w:tc>
        <w:tc>
          <w:tcPr>
            <w:tcW w:w="1294" w:type="dxa"/>
          </w:tcPr>
          <w:p w14:paraId="50EBF5D9"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w:t>
            </w:r>
          </w:p>
        </w:tc>
        <w:tc>
          <w:tcPr>
            <w:tcW w:w="1183" w:type="dxa"/>
          </w:tcPr>
          <w:p w14:paraId="07436299"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w:t>
            </w:r>
          </w:p>
        </w:tc>
      </w:tr>
      <w:tr w:rsidR="00FD5069" w:rsidRPr="00FD5069" w14:paraId="5AB25233" w14:textId="77777777" w:rsidTr="00C7798C">
        <w:trPr>
          <w:jc w:val="center"/>
        </w:trPr>
        <w:tc>
          <w:tcPr>
            <w:tcW w:w="1492" w:type="dxa"/>
          </w:tcPr>
          <w:p w14:paraId="516AC8A8"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1 Year</w:t>
            </w:r>
          </w:p>
        </w:tc>
        <w:tc>
          <w:tcPr>
            <w:tcW w:w="1246" w:type="dxa"/>
          </w:tcPr>
          <w:p w14:paraId="08A0B1DF"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7.8% (4)</w:t>
            </w:r>
          </w:p>
        </w:tc>
        <w:tc>
          <w:tcPr>
            <w:tcW w:w="1231" w:type="dxa"/>
          </w:tcPr>
          <w:p w14:paraId="17D46D83"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21.6% (11)</w:t>
            </w:r>
          </w:p>
        </w:tc>
        <w:tc>
          <w:tcPr>
            <w:tcW w:w="1231" w:type="dxa"/>
          </w:tcPr>
          <w:p w14:paraId="4B7A0897"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39.2% (20)</w:t>
            </w:r>
          </w:p>
        </w:tc>
        <w:tc>
          <w:tcPr>
            <w:tcW w:w="1216" w:type="dxa"/>
          </w:tcPr>
          <w:p w14:paraId="23A86611"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27.5% (14)</w:t>
            </w:r>
          </w:p>
        </w:tc>
        <w:tc>
          <w:tcPr>
            <w:tcW w:w="1294" w:type="dxa"/>
          </w:tcPr>
          <w:p w14:paraId="0E607285"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3.9% (2)</w:t>
            </w:r>
          </w:p>
        </w:tc>
        <w:tc>
          <w:tcPr>
            <w:tcW w:w="1183" w:type="dxa"/>
          </w:tcPr>
          <w:p w14:paraId="251611B7"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w:t>
            </w:r>
          </w:p>
        </w:tc>
      </w:tr>
      <w:tr w:rsidR="00FD5069" w:rsidRPr="00FD5069" w14:paraId="7EAFB85A" w14:textId="77777777" w:rsidTr="00C7798C">
        <w:trPr>
          <w:jc w:val="center"/>
        </w:trPr>
        <w:tc>
          <w:tcPr>
            <w:tcW w:w="1492" w:type="dxa"/>
          </w:tcPr>
          <w:p w14:paraId="06085BA0"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2 years</w:t>
            </w:r>
          </w:p>
        </w:tc>
        <w:tc>
          <w:tcPr>
            <w:tcW w:w="1246" w:type="dxa"/>
          </w:tcPr>
          <w:p w14:paraId="09AFCE96"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6.4% (3)</w:t>
            </w:r>
          </w:p>
        </w:tc>
        <w:tc>
          <w:tcPr>
            <w:tcW w:w="1231" w:type="dxa"/>
          </w:tcPr>
          <w:p w14:paraId="38951294"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8.5% (4)</w:t>
            </w:r>
          </w:p>
        </w:tc>
        <w:tc>
          <w:tcPr>
            <w:tcW w:w="1231" w:type="dxa"/>
          </w:tcPr>
          <w:p w14:paraId="49F6998C"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29.8% (14)</w:t>
            </w:r>
          </w:p>
        </w:tc>
        <w:tc>
          <w:tcPr>
            <w:tcW w:w="1216" w:type="dxa"/>
          </w:tcPr>
          <w:p w14:paraId="146D6B46"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42.6% (20)</w:t>
            </w:r>
          </w:p>
        </w:tc>
        <w:tc>
          <w:tcPr>
            <w:tcW w:w="1294" w:type="dxa"/>
          </w:tcPr>
          <w:p w14:paraId="44B926FC"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10.6% (5)</w:t>
            </w:r>
          </w:p>
        </w:tc>
        <w:tc>
          <w:tcPr>
            <w:tcW w:w="1183" w:type="dxa"/>
          </w:tcPr>
          <w:p w14:paraId="0E196120"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2.1% (1)</w:t>
            </w:r>
          </w:p>
        </w:tc>
      </w:tr>
      <w:tr w:rsidR="00FD5069" w:rsidRPr="00FD5069" w14:paraId="2A2B1EE3" w14:textId="77777777" w:rsidTr="00C7798C">
        <w:trPr>
          <w:jc w:val="center"/>
        </w:trPr>
        <w:tc>
          <w:tcPr>
            <w:tcW w:w="1492" w:type="dxa"/>
          </w:tcPr>
          <w:p w14:paraId="36404996"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5 years</w:t>
            </w:r>
          </w:p>
        </w:tc>
        <w:tc>
          <w:tcPr>
            <w:tcW w:w="1246" w:type="dxa"/>
          </w:tcPr>
          <w:p w14:paraId="5B53C0C1"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10.6% (5)</w:t>
            </w:r>
          </w:p>
        </w:tc>
        <w:tc>
          <w:tcPr>
            <w:tcW w:w="1231" w:type="dxa"/>
          </w:tcPr>
          <w:p w14:paraId="37168DF8"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0%</w:t>
            </w:r>
          </w:p>
        </w:tc>
        <w:tc>
          <w:tcPr>
            <w:tcW w:w="1231" w:type="dxa"/>
          </w:tcPr>
          <w:p w14:paraId="77514579"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21.3% (10)</w:t>
            </w:r>
          </w:p>
        </w:tc>
        <w:tc>
          <w:tcPr>
            <w:tcW w:w="1216" w:type="dxa"/>
          </w:tcPr>
          <w:p w14:paraId="03E31FC2"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31.9% (15)</w:t>
            </w:r>
          </w:p>
        </w:tc>
        <w:tc>
          <w:tcPr>
            <w:tcW w:w="1294" w:type="dxa"/>
          </w:tcPr>
          <w:p w14:paraId="3B45FF10"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27.7% (13)</w:t>
            </w:r>
          </w:p>
        </w:tc>
        <w:tc>
          <w:tcPr>
            <w:tcW w:w="1183" w:type="dxa"/>
          </w:tcPr>
          <w:p w14:paraId="0756DB63"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8.5% (4)</w:t>
            </w:r>
          </w:p>
        </w:tc>
      </w:tr>
      <w:tr w:rsidR="00DC4D34" w:rsidRPr="00FD5069" w14:paraId="2D42AE1B" w14:textId="77777777" w:rsidTr="00C7798C">
        <w:trPr>
          <w:jc w:val="center"/>
        </w:trPr>
        <w:tc>
          <w:tcPr>
            <w:tcW w:w="1492" w:type="dxa"/>
          </w:tcPr>
          <w:p w14:paraId="534CAD9A"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10 years</w:t>
            </w:r>
          </w:p>
        </w:tc>
        <w:tc>
          <w:tcPr>
            <w:tcW w:w="1246" w:type="dxa"/>
          </w:tcPr>
          <w:p w14:paraId="3FACBD32"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12.8% (6)</w:t>
            </w:r>
          </w:p>
        </w:tc>
        <w:tc>
          <w:tcPr>
            <w:tcW w:w="1231" w:type="dxa"/>
          </w:tcPr>
          <w:p w14:paraId="60E2EF3E"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0%</w:t>
            </w:r>
          </w:p>
        </w:tc>
        <w:tc>
          <w:tcPr>
            <w:tcW w:w="1231" w:type="dxa"/>
          </w:tcPr>
          <w:p w14:paraId="7D0113AF"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17% (8)</w:t>
            </w:r>
          </w:p>
        </w:tc>
        <w:tc>
          <w:tcPr>
            <w:tcW w:w="1216" w:type="dxa"/>
          </w:tcPr>
          <w:p w14:paraId="2D5D0B93"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27.7% (13)</w:t>
            </w:r>
          </w:p>
        </w:tc>
        <w:tc>
          <w:tcPr>
            <w:tcW w:w="1294" w:type="dxa"/>
          </w:tcPr>
          <w:p w14:paraId="6591C890"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19.1% (9)</w:t>
            </w:r>
          </w:p>
        </w:tc>
        <w:tc>
          <w:tcPr>
            <w:tcW w:w="1183" w:type="dxa"/>
          </w:tcPr>
          <w:p w14:paraId="24C82510" w14:textId="77777777" w:rsidR="00DC4D34" w:rsidRPr="00FD5069" w:rsidRDefault="00DC4D34" w:rsidP="00826E36">
            <w:pPr>
              <w:jc w:val="both"/>
              <w:rPr>
                <w:rFonts w:cstheme="minorHAnsi"/>
                <w:color w:val="000000" w:themeColor="text1"/>
                <w:sz w:val="20"/>
                <w:szCs w:val="20"/>
              </w:rPr>
            </w:pPr>
            <w:r w:rsidRPr="00FD5069">
              <w:rPr>
                <w:rFonts w:cstheme="minorHAnsi"/>
                <w:color w:val="000000" w:themeColor="text1"/>
                <w:sz w:val="20"/>
                <w:szCs w:val="20"/>
              </w:rPr>
              <w:t>23.4% (11)</w:t>
            </w:r>
          </w:p>
        </w:tc>
      </w:tr>
    </w:tbl>
    <w:p w14:paraId="14D43D34" w14:textId="2D3CAF29" w:rsidR="00C7798C" w:rsidRPr="00E52F71" w:rsidRDefault="00C7798C" w:rsidP="00C7798C">
      <w:pPr>
        <w:autoSpaceDE w:val="0"/>
        <w:autoSpaceDN w:val="0"/>
        <w:adjustRightInd w:val="0"/>
        <w:jc w:val="center"/>
        <w:rPr>
          <w:rFonts w:cs="Times New Roman"/>
          <w:color w:val="000000" w:themeColor="text1"/>
          <w:sz w:val="18"/>
        </w:rPr>
      </w:pPr>
      <w:r w:rsidRPr="00E52F71">
        <w:rPr>
          <w:rFonts w:cs="Times New Roman"/>
          <w:i/>
          <w:color w:val="000000" w:themeColor="text1"/>
          <w:sz w:val="18"/>
        </w:rPr>
        <w:t>*</w:t>
      </w:r>
      <w:r w:rsidRPr="00E52F71">
        <w:rPr>
          <w:rFonts w:cs="Times New Roman"/>
          <w:color w:val="000000" w:themeColor="text1"/>
          <w:sz w:val="18"/>
        </w:rPr>
        <w:t>Valid percentage calculated excluding missing values.    ^ Frequency.    $/</w:t>
      </w:r>
      <w:proofErr w:type="spellStart"/>
      <w:r w:rsidRPr="00E52F71">
        <w:rPr>
          <w:rFonts w:cs="Times New Roman"/>
          <w:color w:val="000000" w:themeColor="text1"/>
          <w:sz w:val="18"/>
        </w:rPr>
        <w:t>bbl</w:t>
      </w:r>
      <w:proofErr w:type="spellEnd"/>
      <w:r w:rsidRPr="00E52F71">
        <w:rPr>
          <w:rFonts w:cs="Times New Roman"/>
          <w:color w:val="000000" w:themeColor="text1"/>
          <w:sz w:val="18"/>
        </w:rPr>
        <w:t>: US $ per</w:t>
      </w:r>
      <w:r w:rsidRPr="00C7798C">
        <w:rPr>
          <w:rFonts w:cs="Times New Roman"/>
          <w:color w:val="000000" w:themeColor="text1"/>
          <w:sz w:val="18"/>
        </w:rPr>
        <w:t xml:space="preserve"> </w:t>
      </w:r>
      <w:r w:rsidRPr="00E52F71">
        <w:rPr>
          <w:rFonts w:cs="Times New Roman"/>
          <w:color w:val="000000" w:themeColor="text1"/>
          <w:sz w:val="18"/>
        </w:rPr>
        <w:t>barrel</w:t>
      </w:r>
    </w:p>
    <w:p w14:paraId="17931D0D" w14:textId="05C7AFD5" w:rsidR="00C7798C" w:rsidRPr="00D021A9" w:rsidRDefault="00C7798C" w:rsidP="00C7798C">
      <w:pPr>
        <w:autoSpaceDE w:val="0"/>
        <w:autoSpaceDN w:val="0"/>
        <w:adjustRightInd w:val="0"/>
        <w:rPr>
          <w:rFonts w:cs="Times New Roman"/>
          <w:color w:val="000000" w:themeColor="text1"/>
          <w:sz w:val="10"/>
        </w:rPr>
      </w:pPr>
    </w:p>
    <w:p w14:paraId="721E0CBC" w14:textId="38CC7AE3" w:rsidR="00DC4D34" w:rsidRPr="00FD5069" w:rsidRDefault="00DC4D34" w:rsidP="00317AA4">
      <w:pPr>
        <w:autoSpaceDE w:val="0"/>
        <w:autoSpaceDN w:val="0"/>
        <w:adjustRightInd w:val="0"/>
        <w:jc w:val="center"/>
        <w:rPr>
          <w:rFonts w:cs="Times New Roman"/>
          <w:color w:val="000000" w:themeColor="text1"/>
        </w:rPr>
      </w:pPr>
      <w:r w:rsidRPr="00FD5069">
        <w:rPr>
          <w:rFonts w:cs="Times New Roman"/>
          <w:color w:val="000000" w:themeColor="text1"/>
        </w:rPr>
        <w:t xml:space="preserve">Table 1: </w:t>
      </w:r>
      <w:r w:rsidR="00317AA4" w:rsidRPr="00FD5069">
        <w:rPr>
          <w:rFonts w:cs="Times New Roman"/>
          <w:color w:val="000000" w:themeColor="text1"/>
        </w:rPr>
        <w:t xml:space="preserve">Respondents’ </w:t>
      </w:r>
      <w:r w:rsidR="00E52F71">
        <w:rPr>
          <w:rFonts w:cs="Times New Roman"/>
          <w:color w:val="000000" w:themeColor="text1"/>
        </w:rPr>
        <w:t>e</w:t>
      </w:r>
      <w:r w:rsidRPr="00FD5069">
        <w:rPr>
          <w:rFonts w:cs="Times New Roman"/>
          <w:color w:val="000000" w:themeColor="text1"/>
        </w:rPr>
        <w:t>xpectation</w:t>
      </w:r>
      <w:r w:rsidR="00317AA4" w:rsidRPr="00FD5069">
        <w:rPr>
          <w:rFonts w:cs="Times New Roman"/>
          <w:color w:val="000000" w:themeColor="text1"/>
        </w:rPr>
        <w:t>s</w:t>
      </w:r>
      <w:r w:rsidR="00B804C2" w:rsidRPr="00FD5069">
        <w:rPr>
          <w:rFonts w:cs="Times New Roman"/>
          <w:color w:val="000000" w:themeColor="text1"/>
        </w:rPr>
        <w:t xml:space="preserve"> </w:t>
      </w:r>
      <w:r w:rsidR="00317AA4" w:rsidRPr="00FD5069">
        <w:rPr>
          <w:rFonts w:cs="Times New Roman"/>
          <w:color w:val="000000" w:themeColor="text1"/>
        </w:rPr>
        <w:t>of the oil price in the near-term, and longer-term</w:t>
      </w:r>
    </w:p>
    <w:p w14:paraId="0707AAB0" w14:textId="77777777" w:rsidR="00DC4D34" w:rsidRPr="00D26378" w:rsidRDefault="00DC4D34" w:rsidP="00A20E38">
      <w:pPr>
        <w:jc w:val="both"/>
        <w:rPr>
          <w:rFonts w:cs="Times New Roman"/>
          <w:color w:val="000000" w:themeColor="text1"/>
          <w:sz w:val="14"/>
        </w:rPr>
      </w:pPr>
    </w:p>
    <w:p w14:paraId="3BC1F4A1" w14:textId="7080A6E4" w:rsidR="00DC4D34" w:rsidRPr="00FD5069" w:rsidRDefault="00DC4D34" w:rsidP="00A20E38">
      <w:pPr>
        <w:jc w:val="both"/>
        <w:rPr>
          <w:rFonts w:cs="Times New Roman"/>
          <w:color w:val="000000" w:themeColor="text1"/>
        </w:rPr>
      </w:pPr>
      <w:r w:rsidRPr="00FD5069">
        <w:rPr>
          <w:rFonts w:cs="Times New Roman"/>
          <w:color w:val="000000" w:themeColor="text1"/>
        </w:rPr>
        <w:t>As mentioned, several of the questions were ‘open-ended’ in that they allowed respondents</w:t>
      </w:r>
      <w:r w:rsidR="00FD5069" w:rsidRPr="00FD5069">
        <w:rPr>
          <w:rFonts w:cs="Times New Roman"/>
          <w:color w:val="000000" w:themeColor="text1"/>
        </w:rPr>
        <w:t xml:space="preserve"> to give details of their views.</w:t>
      </w:r>
      <w:r w:rsidRPr="00FD5069">
        <w:rPr>
          <w:rFonts w:cs="Times New Roman"/>
          <w:color w:val="000000" w:themeColor="text1"/>
        </w:rPr>
        <w:t xml:space="preserve"> On </w:t>
      </w:r>
      <w:r w:rsidR="00FD5069" w:rsidRPr="00FD5069">
        <w:rPr>
          <w:rFonts w:cs="Times New Roman"/>
          <w:color w:val="000000" w:themeColor="text1"/>
        </w:rPr>
        <w:t>future oil price these views were</w:t>
      </w:r>
      <w:r w:rsidRPr="00FD5069">
        <w:rPr>
          <w:rFonts w:cs="Times New Roman"/>
          <w:color w:val="000000" w:themeColor="text1"/>
        </w:rPr>
        <w:t xml:space="preserve"> fascinating, and help explain the wide range of oil price estimates given in Table 1. A view of a low price 10 years’ hence (of &lt;$30/bbl) followed logically from the explanations; for example: “</w:t>
      </w:r>
      <w:r w:rsidRPr="00FD5069">
        <w:rPr>
          <w:rFonts w:cs="Times New Roman"/>
          <w:i/>
          <w:color w:val="000000" w:themeColor="text1"/>
        </w:rPr>
        <w:t>More and more new energy sources will be introduced</w:t>
      </w:r>
      <w:r w:rsidRPr="00FD5069">
        <w:rPr>
          <w:rFonts w:cs="Times New Roman"/>
          <w:color w:val="000000" w:themeColor="text1"/>
        </w:rPr>
        <w:t>”; while a view of a high price estimate 10 years’ hence, of &gt;$120/bbl, also followed logically from the view that: “…</w:t>
      </w:r>
      <w:r w:rsidRPr="00FD5069">
        <w:rPr>
          <w:rFonts w:cs="Times New Roman"/>
          <w:i/>
          <w:color w:val="000000" w:themeColor="text1"/>
        </w:rPr>
        <w:t>oil will become more of a scarce resource</w:t>
      </w:r>
      <w:r w:rsidRPr="00FD5069">
        <w:rPr>
          <w:rFonts w:cs="Times New Roman"/>
          <w:color w:val="000000" w:themeColor="text1"/>
        </w:rPr>
        <w:t xml:space="preserve">.” More generally, where a low oil price 3 to 10 years out was envisaged, this was due to an expectation of a very significant rise in low-carbon non-oil transport. Conversely, those seeing a high oil price 3 to 10 years out pointed to the world’s increasing appetite for oil, coupled with anticipated constraints on its production. </w:t>
      </w:r>
    </w:p>
    <w:p w14:paraId="20C9F941" w14:textId="77777777" w:rsidR="00DC4D34" w:rsidRPr="00D26378" w:rsidRDefault="00DC4D34" w:rsidP="00A20E38">
      <w:pPr>
        <w:snapToGrid w:val="0"/>
        <w:jc w:val="both"/>
        <w:rPr>
          <w:rFonts w:cs="Times New Roman"/>
          <w:color w:val="000000" w:themeColor="text1"/>
          <w:sz w:val="14"/>
        </w:rPr>
      </w:pPr>
    </w:p>
    <w:p w14:paraId="5299396A" w14:textId="48E991A0" w:rsidR="00B70ED7" w:rsidRPr="00826E36" w:rsidRDefault="00184B91" w:rsidP="00A20E38">
      <w:pPr>
        <w:jc w:val="both"/>
        <w:rPr>
          <w:rFonts w:cs="Times New Roman"/>
          <w:color w:val="000000" w:themeColor="text1"/>
        </w:rPr>
      </w:pPr>
      <w:r w:rsidRPr="00826E36">
        <w:rPr>
          <w:rFonts w:cs="Times New Roman"/>
          <w:color w:val="000000" w:themeColor="text1"/>
        </w:rPr>
        <w:t>Now</w:t>
      </w:r>
      <w:r w:rsidR="00B70ED7" w:rsidRPr="00826E36">
        <w:rPr>
          <w:rFonts w:cs="Times New Roman"/>
          <w:color w:val="000000" w:themeColor="text1"/>
        </w:rPr>
        <w:t xml:space="preserve"> we </w:t>
      </w:r>
      <w:r w:rsidR="00FD5069">
        <w:rPr>
          <w:rFonts w:cs="Times New Roman"/>
          <w:color w:val="000000" w:themeColor="text1"/>
        </w:rPr>
        <w:t xml:space="preserve">turn to </w:t>
      </w:r>
      <w:r w:rsidRPr="00826E36">
        <w:rPr>
          <w:rFonts w:cs="Times New Roman"/>
          <w:color w:val="000000" w:themeColor="text1"/>
        </w:rPr>
        <w:t xml:space="preserve">the </w:t>
      </w:r>
      <w:r w:rsidR="00EB5127">
        <w:rPr>
          <w:rFonts w:cs="Times New Roman"/>
          <w:color w:val="000000" w:themeColor="text1"/>
        </w:rPr>
        <w:t xml:space="preserve">specific </w:t>
      </w:r>
      <w:r w:rsidRPr="00826E36">
        <w:rPr>
          <w:rFonts w:cs="Times New Roman"/>
          <w:color w:val="000000" w:themeColor="text1"/>
        </w:rPr>
        <w:t xml:space="preserve">question raised in this paper: How good have respondents’ </w:t>
      </w:r>
      <w:r w:rsidR="00FD5069">
        <w:rPr>
          <w:rFonts w:cs="Times New Roman"/>
          <w:color w:val="000000" w:themeColor="text1"/>
        </w:rPr>
        <w:t xml:space="preserve">views on future </w:t>
      </w:r>
      <w:r w:rsidR="00800DB2" w:rsidRPr="00826E36">
        <w:rPr>
          <w:rFonts w:cs="Times New Roman"/>
          <w:color w:val="000000" w:themeColor="text1"/>
        </w:rPr>
        <w:t>oil price</w:t>
      </w:r>
      <w:r w:rsidR="00FD5069">
        <w:rPr>
          <w:rFonts w:cs="Times New Roman"/>
          <w:color w:val="000000" w:themeColor="text1"/>
        </w:rPr>
        <w:t>s</w:t>
      </w:r>
      <w:r w:rsidR="00800DB2" w:rsidRPr="00826E36">
        <w:rPr>
          <w:rFonts w:cs="Times New Roman"/>
          <w:color w:val="000000" w:themeColor="text1"/>
        </w:rPr>
        <w:t xml:space="preserve"> </w:t>
      </w:r>
      <w:r w:rsidR="00B70ED7" w:rsidRPr="00826E36">
        <w:rPr>
          <w:rFonts w:cs="Times New Roman"/>
          <w:color w:val="000000" w:themeColor="text1"/>
        </w:rPr>
        <w:t>been</w:t>
      </w:r>
      <w:r w:rsidRPr="00826E36">
        <w:rPr>
          <w:rFonts w:cs="Times New Roman"/>
          <w:color w:val="000000" w:themeColor="text1"/>
        </w:rPr>
        <w:t xml:space="preserve"> so far?</w:t>
      </w:r>
      <w:r w:rsidR="00B70ED7" w:rsidRPr="00826E36">
        <w:rPr>
          <w:rFonts w:cs="Times New Roman"/>
          <w:color w:val="000000" w:themeColor="text1"/>
        </w:rPr>
        <w:t xml:space="preserve"> </w:t>
      </w:r>
      <w:r w:rsidR="00FC71AE">
        <w:rPr>
          <w:rFonts w:cs="Times New Roman"/>
          <w:color w:val="000000" w:themeColor="text1"/>
        </w:rPr>
        <w:t>Results fr</w:t>
      </w:r>
      <w:r w:rsidR="0053551B">
        <w:rPr>
          <w:rFonts w:cs="Times New Roman"/>
          <w:color w:val="000000" w:themeColor="text1"/>
        </w:rPr>
        <w:t xml:space="preserve">om the earliest </w:t>
      </w:r>
      <w:r w:rsidR="001C2470">
        <w:rPr>
          <w:rFonts w:cs="Times New Roman"/>
          <w:color w:val="000000" w:themeColor="text1"/>
        </w:rPr>
        <w:t>survey</w:t>
      </w:r>
      <w:r w:rsidR="00FC71AE">
        <w:rPr>
          <w:rFonts w:cs="Times New Roman"/>
          <w:color w:val="000000" w:themeColor="text1"/>
        </w:rPr>
        <w:t xml:space="preserve"> (those in</w:t>
      </w:r>
      <w:r w:rsidR="00EB5127">
        <w:rPr>
          <w:rFonts w:cs="Times New Roman"/>
          <w:color w:val="000000" w:themeColor="text1"/>
        </w:rPr>
        <w:t xml:space="preserve"> June 2016) are shown in Table 2</w:t>
      </w:r>
      <w:r w:rsidR="00FC71AE">
        <w:rPr>
          <w:rFonts w:cs="Times New Roman"/>
          <w:color w:val="000000" w:themeColor="text1"/>
        </w:rPr>
        <w:t>.</w:t>
      </w:r>
    </w:p>
    <w:p w14:paraId="36809074" w14:textId="77777777" w:rsidR="008659AF" w:rsidRPr="00D26378" w:rsidRDefault="008659AF" w:rsidP="00826E36">
      <w:pPr>
        <w:jc w:val="both"/>
        <w:rPr>
          <w:rFonts w:cs="Times New Roman"/>
          <w:color w:val="000000" w:themeColor="text1"/>
          <w:sz w:val="14"/>
        </w:rPr>
      </w:pPr>
    </w:p>
    <w:tbl>
      <w:tblPr>
        <w:tblW w:w="5402" w:type="dxa"/>
        <w:jc w:val="center"/>
        <w:tblLook w:val="04A0" w:firstRow="1" w:lastRow="0" w:firstColumn="1" w:lastColumn="0" w:noHBand="0" w:noVBand="1"/>
      </w:tblPr>
      <w:tblGrid>
        <w:gridCol w:w="960"/>
        <w:gridCol w:w="2316"/>
        <w:gridCol w:w="2126"/>
      </w:tblGrid>
      <w:tr w:rsidR="008659AF" w:rsidRPr="00826E36" w14:paraId="41B8D233" w14:textId="77777777" w:rsidTr="00C7798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21237" w14:textId="77777777" w:rsidR="008659AF" w:rsidRPr="00826E36" w:rsidRDefault="008659AF" w:rsidP="00826E36">
            <w:pPr>
              <w:jc w:val="both"/>
              <w:rPr>
                <w:rFonts w:ascii="Calibri" w:eastAsia="Times New Roman" w:hAnsi="Calibri" w:cs="Times New Roman"/>
                <w:b/>
                <w:bCs/>
                <w:color w:val="000000"/>
              </w:rPr>
            </w:pP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18F03" w14:textId="77777777" w:rsidR="008659AF" w:rsidRPr="00826E36" w:rsidRDefault="008659AF" w:rsidP="00EB2159">
            <w:pPr>
              <w:jc w:val="center"/>
              <w:rPr>
                <w:rFonts w:ascii="Calibri" w:eastAsia="Times New Roman" w:hAnsi="Calibri" w:cs="Times New Roman"/>
                <w:b/>
                <w:bCs/>
                <w:color w:val="000000"/>
              </w:rPr>
            </w:pPr>
            <w:r w:rsidRPr="00826E36">
              <w:rPr>
                <w:rFonts w:ascii="Calibri" w:eastAsia="Times New Roman" w:hAnsi="Calibri" w:cs="Times New Roman"/>
                <w:b/>
                <w:bCs/>
                <w:color w:val="000000"/>
              </w:rPr>
              <w:t>June 2016 prediction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8476C" w14:textId="77777777" w:rsidR="008659AF" w:rsidRPr="00826E36" w:rsidRDefault="008659AF" w:rsidP="00EB2159">
            <w:pPr>
              <w:jc w:val="center"/>
              <w:rPr>
                <w:rFonts w:ascii="Calibri" w:eastAsia="Times New Roman" w:hAnsi="Calibri" w:cs="Times New Roman"/>
                <w:b/>
                <w:bCs/>
                <w:color w:val="000000"/>
              </w:rPr>
            </w:pPr>
            <w:r w:rsidRPr="00826E36">
              <w:rPr>
                <w:rFonts w:ascii="Calibri" w:eastAsia="Times New Roman" w:hAnsi="Calibri" w:cs="Times New Roman"/>
                <w:b/>
                <w:bCs/>
                <w:color w:val="000000"/>
              </w:rPr>
              <w:t>Actual oil price</w:t>
            </w:r>
          </w:p>
        </w:tc>
      </w:tr>
      <w:tr w:rsidR="008659AF" w:rsidRPr="00826E36" w14:paraId="53B80EFC" w14:textId="77777777" w:rsidTr="00C7798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4D1CE" w14:textId="77777777" w:rsidR="008659AF" w:rsidRPr="00826E36" w:rsidRDefault="008659AF" w:rsidP="00826E36">
            <w:pPr>
              <w:jc w:val="both"/>
              <w:rPr>
                <w:rFonts w:ascii="Calibri" w:eastAsia="Times New Roman" w:hAnsi="Calibri" w:cs="Times New Roman"/>
                <w:b/>
                <w:bCs/>
                <w:color w:val="000000"/>
              </w:rPr>
            </w:pPr>
            <w:r w:rsidRPr="00826E36">
              <w:rPr>
                <w:rFonts w:ascii="Calibri" w:eastAsia="Times New Roman" w:hAnsi="Calibri" w:cs="Times New Roman"/>
                <w:b/>
                <w:bCs/>
                <w:color w:val="000000"/>
              </w:rPr>
              <w:t>Sep-16</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1BF87" w14:textId="77777777" w:rsidR="008659AF" w:rsidRPr="00826E36" w:rsidRDefault="008659AF" w:rsidP="00EB2159">
            <w:pPr>
              <w:jc w:val="center"/>
              <w:rPr>
                <w:rFonts w:ascii="Calibri" w:eastAsia="Times New Roman" w:hAnsi="Calibri" w:cs="Times New Roman"/>
                <w:color w:val="000000"/>
              </w:rPr>
            </w:pPr>
            <w:r w:rsidRPr="00826E36">
              <w:rPr>
                <w:rFonts w:ascii="Calibri" w:eastAsia="Times New Roman" w:hAnsi="Calibri" w:cs="Times New Roman"/>
                <w:color w:val="000000"/>
              </w:rPr>
              <w:t>42.92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D62E6" w14:textId="77777777" w:rsidR="008659AF" w:rsidRPr="00826E36" w:rsidRDefault="008659AF" w:rsidP="00EB2159">
            <w:pPr>
              <w:jc w:val="center"/>
              <w:rPr>
                <w:rFonts w:ascii="Calibri" w:eastAsia="Times New Roman" w:hAnsi="Calibri" w:cs="Times New Roman"/>
                <w:color w:val="000000"/>
              </w:rPr>
            </w:pPr>
            <w:r w:rsidRPr="00826E36">
              <w:rPr>
                <w:rFonts w:ascii="Calibri" w:eastAsia="Times New Roman" w:hAnsi="Calibri" w:cs="Times New Roman"/>
                <w:color w:val="000000"/>
              </w:rPr>
              <w:t>49.07</w:t>
            </w:r>
          </w:p>
        </w:tc>
      </w:tr>
      <w:tr w:rsidR="008659AF" w:rsidRPr="00826E36" w14:paraId="5CC0BB6D" w14:textId="77777777" w:rsidTr="00C7798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3B5EF" w14:textId="77777777" w:rsidR="008659AF" w:rsidRPr="00826E36" w:rsidRDefault="008659AF" w:rsidP="00826E36">
            <w:pPr>
              <w:jc w:val="both"/>
              <w:rPr>
                <w:rFonts w:ascii="Calibri" w:eastAsia="Times New Roman" w:hAnsi="Calibri" w:cs="Times New Roman"/>
                <w:b/>
                <w:bCs/>
                <w:color w:val="000000"/>
              </w:rPr>
            </w:pPr>
            <w:r w:rsidRPr="00826E36">
              <w:rPr>
                <w:rFonts w:ascii="Calibri" w:eastAsia="Times New Roman" w:hAnsi="Calibri" w:cs="Times New Roman"/>
                <w:b/>
                <w:bCs/>
                <w:color w:val="000000"/>
              </w:rPr>
              <w:t>Dec-16</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76A3E" w14:textId="77777777" w:rsidR="008659AF" w:rsidRPr="00826E36" w:rsidRDefault="008659AF" w:rsidP="00EB2159">
            <w:pPr>
              <w:jc w:val="center"/>
              <w:rPr>
                <w:rFonts w:ascii="Calibri" w:eastAsia="Times New Roman" w:hAnsi="Calibri" w:cs="Times New Roman"/>
                <w:color w:val="000000"/>
              </w:rPr>
            </w:pPr>
            <w:r w:rsidRPr="00826E36">
              <w:rPr>
                <w:rFonts w:ascii="Calibri" w:eastAsia="Times New Roman" w:hAnsi="Calibri" w:cs="Times New Roman"/>
                <w:color w:val="000000"/>
              </w:rPr>
              <w:t>38.27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38CE4" w14:textId="77777777" w:rsidR="008659AF" w:rsidRPr="00826E36" w:rsidRDefault="008659AF" w:rsidP="00EB2159">
            <w:pPr>
              <w:jc w:val="center"/>
              <w:rPr>
                <w:rFonts w:ascii="Calibri" w:eastAsia="Times New Roman" w:hAnsi="Calibri" w:cs="Times New Roman"/>
                <w:color w:val="000000"/>
              </w:rPr>
            </w:pPr>
            <w:r w:rsidRPr="00826E36">
              <w:rPr>
                <w:rFonts w:ascii="Calibri" w:eastAsia="Times New Roman" w:hAnsi="Calibri" w:cs="Times New Roman"/>
                <w:color w:val="000000"/>
              </w:rPr>
              <w:t>55.13</w:t>
            </w:r>
          </w:p>
        </w:tc>
      </w:tr>
      <w:tr w:rsidR="008659AF" w:rsidRPr="00826E36" w14:paraId="08CE68FE" w14:textId="77777777" w:rsidTr="00C7798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33211" w14:textId="77777777" w:rsidR="008659AF" w:rsidRPr="00826E36" w:rsidRDefault="008659AF" w:rsidP="00826E36">
            <w:pPr>
              <w:jc w:val="both"/>
              <w:rPr>
                <w:rFonts w:ascii="Calibri" w:eastAsia="Times New Roman" w:hAnsi="Calibri" w:cs="Times New Roman"/>
                <w:b/>
                <w:bCs/>
                <w:color w:val="000000"/>
              </w:rPr>
            </w:pPr>
            <w:r w:rsidRPr="00826E36">
              <w:rPr>
                <w:rFonts w:ascii="Calibri" w:eastAsia="Times New Roman" w:hAnsi="Calibri" w:cs="Times New Roman"/>
                <w:b/>
                <w:bCs/>
                <w:color w:val="000000"/>
              </w:rPr>
              <w:t>Jun-17</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49E79" w14:textId="77777777" w:rsidR="008659AF" w:rsidRPr="00826E36" w:rsidRDefault="008659AF" w:rsidP="00EB2159">
            <w:pPr>
              <w:jc w:val="center"/>
              <w:rPr>
                <w:rFonts w:ascii="Calibri" w:eastAsia="Times New Roman" w:hAnsi="Calibri" w:cs="Times New Roman"/>
                <w:color w:val="000000"/>
              </w:rPr>
            </w:pPr>
            <w:r w:rsidRPr="00826E36">
              <w:rPr>
                <w:rFonts w:ascii="Calibri" w:eastAsia="Times New Roman" w:hAnsi="Calibri" w:cs="Times New Roman"/>
                <w:color w:val="000000"/>
              </w:rPr>
              <w:t>49.13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0822B" w14:textId="77777777" w:rsidR="008659AF" w:rsidRPr="00826E36" w:rsidRDefault="008659AF" w:rsidP="00EB2159">
            <w:pPr>
              <w:jc w:val="center"/>
              <w:rPr>
                <w:rFonts w:ascii="Calibri" w:eastAsia="Times New Roman" w:hAnsi="Calibri" w:cs="Times New Roman"/>
                <w:color w:val="000000"/>
              </w:rPr>
            </w:pPr>
            <w:r w:rsidRPr="00826E36">
              <w:rPr>
                <w:rFonts w:ascii="Calibri" w:eastAsia="Times New Roman" w:hAnsi="Calibri" w:cs="Times New Roman"/>
                <w:color w:val="000000"/>
              </w:rPr>
              <w:t>50.19</w:t>
            </w:r>
          </w:p>
        </w:tc>
      </w:tr>
    </w:tbl>
    <w:p w14:paraId="0104CBFE" w14:textId="77777777" w:rsidR="00C7798C" w:rsidRPr="00D021A9" w:rsidRDefault="00C7798C" w:rsidP="00C7798C">
      <w:pPr>
        <w:jc w:val="center"/>
        <w:rPr>
          <w:rFonts w:ascii="Calibri" w:eastAsia="Times New Roman" w:hAnsi="Calibri" w:cs="Times New Roman"/>
          <w:color w:val="000000"/>
          <w:sz w:val="10"/>
        </w:rPr>
      </w:pPr>
    </w:p>
    <w:p w14:paraId="7D328D7A" w14:textId="204E33FE" w:rsidR="008659AF" w:rsidRDefault="00B804C2" w:rsidP="00C7798C">
      <w:pPr>
        <w:jc w:val="center"/>
        <w:rPr>
          <w:rFonts w:ascii="Calibri" w:eastAsia="Times New Roman" w:hAnsi="Calibri" w:cs="Times New Roman"/>
          <w:color w:val="000000"/>
        </w:rPr>
      </w:pPr>
      <w:r>
        <w:rPr>
          <w:rFonts w:ascii="Calibri" w:eastAsia="Times New Roman" w:hAnsi="Calibri" w:cs="Times New Roman"/>
          <w:color w:val="000000"/>
        </w:rPr>
        <w:t>Table 2</w:t>
      </w:r>
      <w:r w:rsidR="00C7798C">
        <w:rPr>
          <w:rFonts w:ascii="Calibri" w:eastAsia="Times New Roman" w:hAnsi="Calibri" w:cs="Times New Roman"/>
          <w:color w:val="000000"/>
        </w:rPr>
        <w:t>:</w:t>
      </w:r>
      <w:r w:rsidR="001C2470">
        <w:rPr>
          <w:rFonts w:ascii="Calibri" w:eastAsia="Times New Roman" w:hAnsi="Calibri" w:cs="Times New Roman"/>
          <w:color w:val="000000"/>
        </w:rPr>
        <w:t xml:space="preserve"> Respondent views of future oil price, vs. actual price.</w:t>
      </w:r>
      <w:r w:rsidR="00566983" w:rsidRPr="00826E36">
        <w:rPr>
          <w:rFonts w:ascii="Calibri" w:eastAsia="Times New Roman" w:hAnsi="Calibri" w:cs="Times New Roman"/>
          <w:color w:val="000000"/>
        </w:rPr>
        <w:t xml:space="preserve"> </w:t>
      </w:r>
      <w:r w:rsidR="001C2470">
        <w:rPr>
          <w:rFonts w:ascii="Calibri" w:eastAsia="Times New Roman" w:hAnsi="Calibri" w:cs="Times New Roman"/>
          <w:color w:val="000000"/>
        </w:rPr>
        <w:t>(Reflects</w:t>
      </w:r>
      <w:r w:rsidR="008659AF" w:rsidRPr="00826E36">
        <w:rPr>
          <w:rFonts w:ascii="Calibri" w:eastAsia="Times New Roman" w:hAnsi="Calibri" w:cs="Times New Roman"/>
          <w:color w:val="000000"/>
        </w:rPr>
        <w:t xml:space="preserve"> 27 </w:t>
      </w:r>
      <w:r w:rsidR="00566983" w:rsidRPr="00826E36">
        <w:rPr>
          <w:rFonts w:ascii="Calibri" w:eastAsia="Times New Roman" w:hAnsi="Calibri" w:cs="Times New Roman"/>
          <w:color w:val="000000"/>
        </w:rPr>
        <w:t>answers</w:t>
      </w:r>
      <w:r w:rsidR="008659AF" w:rsidRPr="00826E36">
        <w:rPr>
          <w:rFonts w:ascii="Calibri" w:eastAsia="Times New Roman" w:hAnsi="Calibri" w:cs="Times New Roman"/>
          <w:color w:val="000000"/>
        </w:rPr>
        <w:t>)</w:t>
      </w:r>
    </w:p>
    <w:p w14:paraId="732D5D41" w14:textId="77777777" w:rsidR="00D021A9" w:rsidRPr="00D26378" w:rsidRDefault="00D021A9" w:rsidP="00C7798C">
      <w:pPr>
        <w:jc w:val="center"/>
        <w:rPr>
          <w:rFonts w:ascii="Calibri" w:eastAsia="Times New Roman" w:hAnsi="Calibri" w:cs="Times New Roman"/>
          <w:color w:val="000000"/>
          <w:sz w:val="14"/>
        </w:rPr>
      </w:pPr>
    </w:p>
    <w:p w14:paraId="137DC967" w14:textId="68AE3EAF" w:rsidR="0053551B" w:rsidRPr="001C2470" w:rsidRDefault="00EB5127" w:rsidP="0053551B">
      <w:pPr>
        <w:jc w:val="both"/>
        <w:rPr>
          <w:color w:val="000000" w:themeColor="text1"/>
        </w:rPr>
      </w:pPr>
      <w:r>
        <w:rPr>
          <w:rFonts w:ascii="Calibri" w:eastAsia="Times New Roman" w:hAnsi="Calibri" w:cs="Times New Roman"/>
          <w:color w:val="000000"/>
        </w:rPr>
        <w:t>In Table 2</w:t>
      </w:r>
      <w:r w:rsidR="00122AFE" w:rsidRPr="00826E36">
        <w:rPr>
          <w:rFonts w:ascii="Calibri" w:eastAsia="Times New Roman" w:hAnsi="Calibri" w:cs="Times New Roman"/>
          <w:color w:val="000000"/>
        </w:rPr>
        <w:t xml:space="preserve">, </w:t>
      </w:r>
      <w:r w:rsidR="001C2470">
        <w:rPr>
          <w:rFonts w:ascii="Calibri" w:eastAsia="Times New Roman" w:hAnsi="Calibri" w:cs="Times New Roman"/>
          <w:color w:val="000000"/>
        </w:rPr>
        <w:t>t</w:t>
      </w:r>
      <w:r w:rsidR="008659AF" w:rsidRPr="00826E36">
        <w:rPr>
          <w:rFonts w:ascii="Calibri" w:eastAsia="Times New Roman" w:hAnsi="Calibri" w:cs="Times New Roman"/>
          <w:color w:val="000000"/>
        </w:rPr>
        <w:t>he</w:t>
      </w:r>
      <w:r w:rsidR="00122AFE" w:rsidRPr="00826E36">
        <w:rPr>
          <w:rFonts w:ascii="Calibri" w:eastAsia="Times New Roman" w:hAnsi="Calibri" w:cs="Times New Roman"/>
          <w:color w:val="000000"/>
        </w:rPr>
        <w:t xml:space="preserve"> column ‘June 2016 prediction’ gives the </w:t>
      </w:r>
      <w:r w:rsidR="008659AF" w:rsidRPr="00826E36">
        <w:rPr>
          <w:rFonts w:ascii="Calibri" w:eastAsia="Times New Roman" w:hAnsi="Calibri" w:cs="Times New Roman"/>
          <w:color w:val="000000"/>
        </w:rPr>
        <w:t>a</w:t>
      </w:r>
      <w:r w:rsidR="00122AFE" w:rsidRPr="00826E36">
        <w:rPr>
          <w:rFonts w:ascii="Calibri" w:eastAsia="Times New Roman" w:hAnsi="Calibri" w:cs="Times New Roman"/>
          <w:color w:val="000000"/>
        </w:rPr>
        <w:t>verage of respondent</w:t>
      </w:r>
      <w:r w:rsidR="00604D3C">
        <w:rPr>
          <w:rFonts w:ascii="Calibri" w:eastAsia="Times New Roman" w:hAnsi="Calibri" w:cs="Times New Roman"/>
          <w:color w:val="000000"/>
        </w:rPr>
        <w:t>s’</w:t>
      </w:r>
      <w:r w:rsidR="008971C6" w:rsidRPr="00826E36">
        <w:rPr>
          <w:rFonts w:ascii="Calibri" w:eastAsia="Times New Roman" w:hAnsi="Calibri" w:cs="Times New Roman"/>
          <w:color w:val="000000"/>
        </w:rPr>
        <w:t xml:space="preserve"> </w:t>
      </w:r>
      <w:r w:rsidR="001C2470">
        <w:rPr>
          <w:rFonts w:ascii="Calibri" w:eastAsia="Times New Roman" w:hAnsi="Calibri" w:cs="Times New Roman"/>
          <w:color w:val="000000"/>
        </w:rPr>
        <w:t xml:space="preserve">June 2016 </w:t>
      </w:r>
      <w:r w:rsidR="008971C6" w:rsidRPr="00826E36">
        <w:rPr>
          <w:rFonts w:ascii="Calibri" w:eastAsia="Times New Roman" w:hAnsi="Calibri" w:cs="Times New Roman"/>
          <w:color w:val="000000"/>
        </w:rPr>
        <w:t>predictions</w:t>
      </w:r>
      <w:r w:rsidR="00122AFE" w:rsidRPr="00826E36">
        <w:rPr>
          <w:rFonts w:ascii="Calibri" w:eastAsia="Times New Roman" w:hAnsi="Calibri" w:cs="Times New Roman"/>
          <w:color w:val="000000"/>
        </w:rPr>
        <w:t xml:space="preserve"> </w:t>
      </w:r>
      <w:r w:rsidR="001C2470">
        <w:rPr>
          <w:rFonts w:ascii="Calibri" w:eastAsia="Times New Roman" w:hAnsi="Calibri" w:cs="Times New Roman"/>
          <w:color w:val="000000"/>
        </w:rPr>
        <w:t>for the oil price at the future dates</w:t>
      </w:r>
      <w:r w:rsidR="0053551B">
        <w:rPr>
          <w:rFonts w:ascii="Calibri" w:eastAsia="Times New Roman" w:hAnsi="Calibri" w:cs="Times New Roman"/>
          <w:color w:val="000000"/>
        </w:rPr>
        <w:t xml:space="preserve"> </w:t>
      </w:r>
      <w:r w:rsidR="00122AFE" w:rsidRPr="00826E36">
        <w:rPr>
          <w:rFonts w:ascii="Calibri" w:eastAsia="Times New Roman" w:hAnsi="Calibri" w:cs="Times New Roman"/>
          <w:color w:val="000000"/>
        </w:rPr>
        <w:t>shown</w:t>
      </w:r>
      <w:r w:rsidR="008659AF" w:rsidRPr="00826E36">
        <w:rPr>
          <w:rFonts w:ascii="Calibri" w:eastAsia="Times New Roman" w:hAnsi="Calibri" w:cs="Times New Roman"/>
          <w:color w:val="000000"/>
        </w:rPr>
        <w:t>. For example, the</w:t>
      </w:r>
      <w:r w:rsidR="00826E36">
        <w:rPr>
          <w:rFonts w:ascii="Calibri" w:eastAsia="Times New Roman" w:hAnsi="Calibri" w:cs="Times New Roman"/>
          <w:color w:val="000000"/>
        </w:rPr>
        <w:t>se</w:t>
      </w:r>
      <w:r w:rsidR="001C2470">
        <w:rPr>
          <w:rFonts w:ascii="Calibri" w:eastAsia="Times New Roman" w:hAnsi="Calibri" w:cs="Times New Roman"/>
          <w:color w:val="000000"/>
        </w:rPr>
        <w:t xml:space="preserve"> predictions </w:t>
      </w:r>
      <w:r w:rsidR="00122AFE" w:rsidRPr="00826E36">
        <w:rPr>
          <w:rFonts w:ascii="Calibri" w:eastAsia="Times New Roman" w:hAnsi="Calibri" w:cs="Times New Roman"/>
          <w:color w:val="000000"/>
        </w:rPr>
        <w:t>made in June 2016</w:t>
      </w:r>
      <w:r w:rsidR="001C2470">
        <w:rPr>
          <w:rFonts w:ascii="Calibri" w:eastAsia="Times New Roman" w:hAnsi="Calibri" w:cs="Times New Roman"/>
          <w:color w:val="000000"/>
        </w:rPr>
        <w:t xml:space="preserve"> </w:t>
      </w:r>
      <w:r w:rsidR="00122AFE" w:rsidRPr="00826E36">
        <w:rPr>
          <w:rFonts w:ascii="Calibri" w:eastAsia="Times New Roman" w:hAnsi="Calibri" w:cs="Times New Roman"/>
          <w:color w:val="000000"/>
        </w:rPr>
        <w:t xml:space="preserve">were for the oil price </w:t>
      </w:r>
      <w:r w:rsidR="008659AF" w:rsidRPr="00826E36">
        <w:rPr>
          <w:rFonts w:ascii="Calibri" w:eastAsia="Times New Roman" w:hAnsi="Calibri" w:cs="Times New Roman"/>
          <w:color w:val="000000"/>
        </w:rPr>
        <w:t>3-month</w:t>
      </w:r>
      <w:r w:rsidR="00122AFE" w:rsidRPr="00826E36">
        <w:rPr>
          <w:rFonts w:ascii="Calibri" w:eastAsia="Times New Roman" w:hAnsi="Calibri" w:cs="Times New Roman"/>
          <w:color w:val="000000"/>
        </w:rPr>
        <w:t>s (thus Sept. 2016</w:t>
      </w:r>
      <w:r w:rsidR="008659AF" w:rsidRPr="00826E36">
        <w:rPr>
          <w:rFonts w:ascii="Calibri" w:eastAsia="Times New Roman" w:hAnsi="Calibri" w:cs="Times New Roman"/>
          <w:color w:val="000000"/>
        </w:rPr>
        <w:t>), 6-month</w:t>
      </w:r>
      <w:r w:rsidR="00122AFE" w:rsidRPr="00826E36">
        <w:rPr>
          <w:rFonts w:ascii="Calibri" w:eastAsia="Times New Roman" w:hAnsi="Calibri" w:cs="Times New Roman"/>
          <w:color w:val="000000"/>
        </w:rPr>
        <w:t>s</w:t>
      </w:r>
      <w:r w:rsidR="008659AF" w:rsidRPr="00826E36">
        <w:rPr>
          <w:rFonts w:ascii="Calibri" w:eastAsia="Times New Roman" w:hAnsi="Calibri" w:cs="Times New Roman"/>
          <w:color w:val="000000"/>
        </w:rPr>
        <w:t xml:space="preserve"> (</w:t>
      </w:r>
      <w:r w:rsidR="00122AFE" w:rsidRPr="00826E36">
        <w:rPr>
          <w:rFonts w:ascii="Calibri" w:eastAsia="Times New Roman" w:hAnsi="Calibri" w:cs="Times New Roman"/>
          <w:color w:val="000000"/>
        </w:rPr>
        <w:t>Dec. 2016</w:t>
      </w:r>
      <w:r w:rsidR="008659AF" w:rsidRPr="00826E36">
        <w:rPr>
          <w:rFonts w:ascii="Calibri" w:eastAsia="Times New Roman" w:hAnsi="Calibri" w:cs="Times New Roman"/>
          <w:color w:val="000000"/>
        </w:rPr>
        <w:t>)</w:t>
      </w:r>
      <w:r w:rsidR="00122AFE" w:rsidRPr="00826E36">
        <w:rPr>
          <w:rFonts w:ascii="Calibri" w:eastAsia="Times New Roman" w:hAnsi="Calibri" w:cs="Times New Roman"/>
          <w:color w:val="000000"/>
        </w:rPr>
        <w:t>,</w:t>
      </w:r>
      <w:r w:rsidR="008659AF" w:rsidRPr="00826E36">
        <w:rPr>
          <w:rFonts w:ascii="Calibri" w:eastAsia="Times New Roman" w:hAnsi="Calibri" w:cs="Times New Roman"/>
          <w:color w:val="000000"/>
        </w:rPr>
        <w:t xml:space="preserve"> and 1-year (</w:t>
      </w:r>
      <w:r w:rsidR="00122AFE" w:rsidRPr="00826E36">
        <w:rPr>
          <w:rFonts w:ascii="Calibri" w:eastAsia="Times New Roman" w:hAnsi="Calibri" w:cs="Times New Roman"/>
          <w:color w:val="000000"/>
        </w:rPr>
        <w:t xml:space="preserve">June 2017) ahead. </w:t>
      </w:r>
      <w:r w:rsidR="001C2470">
        <w:rPr>
          <w:rFonts w:ascii="Calibri" w:eastAsia="Times New Roman" w:hAnsi="Calibri" w:cs="Times New Roman"/>
          <w:color w:val="000000"/>
        </w:rPr>
        <w:t>T</w:t>
      </w:r>
      <w:r w:rsidR="001C2470" w:rsidRPr="00826E36">
        <w:rPr>
          <w:rFonts w:ascii="Calibri" w:eastAsia="Times New Roman" w:hAnsi="Calibri" w:cs="Times New Roman"/>
          <w:color w:val="000000"/>
        </w:rPr>
        <w:t xml:space="preserve">he column ‘Actual oil price’ gives approximately </w:t>
      </w:r>
      <w:r w:rsidR="001C2470">
        <w:rPr>
          <w:rFonts w:ascii="Calibri" w:eastAsia="Times New Roman" w:hAnsi="Calibri" w:cs="Times New Roman"/>
          <w:color w:val="000000"/>
        </w:rPr>
        <w:t>monthly average prices</w:t>
      </w:r>
      <w:r w:rsidR="001C2470" w:rsidRPr="00826E36">
        <w:rPr>
          <w:rFonts w:ascii="Calibri" w:eastAsia="Times New Roman" w:hAnsi="Calibri" w:cs="Times New Roman"/>
          <w:color w:val="000000"/>
        </w:rPr>
        <w:t xml:space="preserve"> for Brent oil, taken from http://www.livecharts.co.uk/MarketCharts/brent.php. </w:t>
      </w:r>
      <w:r w:rsidR="00122AFE" w:rsidRPr="00826E36">
        <w:rPr>
          <w:rFonts w:ascii="Calibri" w:eastAsia="Times New Roman" w:hAnsi="Calibri" w:cs="Times New Roman"/>
          <w:color w:val="000000"/>
        </w:rPr>
        <w:t>The 2, 5 and 10</w:t>
      </w:r>
      <w:r w:rsidR="00EB2159">
        <w:rPr>
          <w:rFonts w:ascii="Calibri" w:eastAsia="Times New Roman" w:hAnsi="Calibri" w:cs="Times New Roman"/>
          <w:color w:val="000000"/>
        </w:rPr>
        <w:t>-</w:t>
      </w:r>
      <w:r w:rsidR="00122AFE" w:rsidRPr="00826E36">
        <w:rPr>
          <w:rFonts w:ascii="Calibri" w:eastAsia="Times New Roman" w:hAnsi="Calibri" w:cs="Times New Roman"/>
          <w:color w:val="000000"/>
        </w:rPr>
        <w:t>year</w:t>
      </w:r>
      <w:r w:rsidR="008659AF" w:rsidRPr="00826E36">
        <w:rPr>
          <w:rFonts w:ascii="Calibri" w:eastAsia="Times New Roman" w:hAnsi="Calibri" w:cs="Times New Roman"/>
          <w:color w:val="000000"/>
        </w:rPr>
        <w:t xml:space="preserve"> </w:t>
      </w:r>
      <w:r w:rsidR="008971C6" w:rsidRPr="00826E36">
        <w:rPr>
          <w:rFonts w:ascii="Calibri" w:eastAsia="Times New Roman" w:hAnsi="Calibri" w:cs="Times New Roman"/>
          <w:color w:val="000000"/>
        </w:rPr>
        <w:t xml:space="preserve">forecasts are not included </w:t>
      </w:r>
      <w:r w:rsidR="008659AF" w:rsidRPr="00826E36">
        <w:rPr>
          <w:rFonts w:ascii="Calibri" w:eastAsia="Times New Roman" w:hAnsi="Calibri" w:cs="Times New Roman"/>
          <w:color w:val="000000"/>
        </w:rPr>
        <w:t>as</w:t>
      </w:r>
      <w:r w:rsidR="00122AFE" w:rsidRPr="00826E36">
        <w:rPr>
          <w:rFonts w:ascii="Calibri" w:eastAsia="Times New Roman" w:hAnsi="Calibri" w:cs="Times New Roman"/>
          <w:color w:val="000000"/>
        </w:rPr>
        <w:t xml:space="preserve"> at the date of this analysis </w:t>
      </w:r>
      <w:r w:rsidR="00604D3C">
        <w:rPr>
          <w:rFonts w:ascii="Calibri" w:eastAsia="Times New Roman" w:hAnsi="Calibri" w:cs="Times New Roman"/>
          <w:color w:val="000000"/>
        </w:rPr>
        <w:t>so far there are</w:t>
      </w:r>
      <w:r w:rsidR="00122AFE" w:rsidRPr="00826E36">
        <w:rPr>
          <w:rFonts w:ascii="Calibri" w:eastAsia="Times New Roman" w:hAnsi="Calibri" w:cs="Times New Roman"/>
          <w:color w:val="000000"/>
        </w:rPr>
        <w:t xml:space="preserve"> </w:t>
      </w:r>
      <w:r w:rsidR="008659AF" w:rsidRPr="00826E36">
        <w:rPr>
          <w:rFonts w:ascii="Calibri" w:eastAsia="Times New Roman" w:hAnsi="Calibri" w:cs="Times New Roman"/>
          <w:color w:val="000000"/>
        </w:rPr>
        <w:t xml:space="preserve">no </w:t>
      </w:r>
      <w:r w:rsidR="008659AF" w:rsidRPr="001C2470">
        <w:rPr>
          <w:rFonts w:ascii="Calibri" w:eastAsia="Times New Roman" w:hAnsi="Calibri" w:cs="Times New Roman"/>
          <w:color w:val="000000" w:themeColor="text1"/>
        </w:rPr>
        <w:t xml:space="preserve">actual </w:t>
      </w:r>
      <w:r w:rsidR="00122AFE" w:rsidRPr="001C2470">
        <w:rPr>
          <w:rFonts w:ascii="Calibri" w:eastAsia="Times New Roman" w:hAnsi="Calibri" w:cs="Times New Roman"/>
          <w:color w:val="000000" w:themeColor="text1"/>
        </w:rPr>
        <w:t xml:space="preserve">oil </w:t>
      </w:r>
      <w:r w:rsidR="008659AF" w:rsidRPr="001C2470">
        <w:rPr>
          <w:rFonts w:ascii="Calibri" w:eastAsia="Times New Roman" w:hAnsi="Calibri" w:cs="Times New Roman"/>
          <w:color w:val="000000" w:themeColor="text1"/>
        </w:rPr>
        <w:t>price</w:t>
      </w:r>
      <w:r w:rsidR="00122AFE" w:rsidRPr="001C2470">
        <w:rPr>
          <w:rFonts w:ascii="Calibri" w:eastAsia="Times New Roman" w:hAnsi="Calibri" w:cs="Times New Roman"/>
          <w:color w:val="000000" w:themeColor="text1"/>
        </w:rPr>
        <w:t xml:space="preserve"> data</w:t>
      </w:r>
      <w:r w:rsidR="008659AF" w:rsidRPr="001C2470">
        <w:rPr>
          <w:rFonts w:ascii="Calibri" w:eastAsia="Times New Roman" w:hAnsi="Calibri" w:cs="Times New Roman"/>
          <w:color w:val="000000" w:themeColor="text1"/>
        </w:rPr>
        <w:t xml:space="preserve"> to compare. </w:t>
      </w:r>
      <w:r w:rsidR="00122AFE" w:rsidRPr="001C2470">
        <w:rPr>
          <w:rFonts w:ascii="Calibri" w:eastAsia="Times New Roman" w:hAnsi="Calibri" w:cs="Times New Roman"/>
          <w:color w:val="000000" w:themeColor="text1"/>
        </w:rPr>
        <w:t xml:space="preserve">These data </w:t>
      </w:r>
      <w:r w:rsidR="00604D3C" w:rsidRPr="001C2470">
        <w:rPr>
          <w:rFonts w:ascii="Calibri" w:eastAsia="Times New Roman" w:hAnsi="Calibri" w:cs="Times New Roman"/>
          <w:color w:val="000000" w:themeColor="text1"/>
        </w:rPr>
        <w:t xml:space="preserve">(i.e., forecasts made in June 2016) </w:t>
      </w:r>
      <w:r w:rsidR="00122AFE" w:rsidRPr="001C2470">
        <w:rPr>
          <w:rFonts w:ascii="Calibri" w:eastAsia="Times New Roman" w:hAnsi="Calibri" w:cs="Times New Roman"/>
          <w:color w:val="000000" w:themeColor="text1"/>
        </w:rPr>
        <w:t xml:space="preserve">are shown </w:t>
      </w:r>
      <w:r w:rsidR="00826E36" w:rsidRPr="001C2470">
        <w:rPr>
          <w:rFonts w:ascii="Calibri" w:eastAsia="Times New Roman" w:hAnsi="Calibri" w:cs="Times New Roman"/>
          <w:color w:val="000000" w:themeColor="text1"/>
        </w:rPr>
        <w:t xml:space="preserve">top left </w:t>
      </w:r>
      <w:r w:rsidR="00122AFE" w:rsidRPr="001C2470">
        <w:rPr>
          <w:rFonts w:ascii="Calibri" w:eastAsia="Times New Roman" w:hAnsi="Calibri" w:cs="Times New Roman"/>
          <w:color w:val="000000" w:themeColor="text1"/>
        </w:rPr>
        <w:t xml:space="preserve">in </w:t>
      </w:r>
      <w:r w:rsidR="001C2470" w:rsidRPr="001C2470">
        <w:rPr>
          <w:rFonts w:ascii="Calibri" w:eastAsia="Times New Roman" w:hAnsi="Calibri" w:cs="Times New Roman"/>
          <w:color w:val="000000" w:themeColor="text1"/>
        </w:rPr>
        <w:t>Figure 1</w:t>
      </w:r>
      <w:r w:rsidR="00122AFE" w:rsidRPr="001C2470">
        <w:rPr>
          <w:rFonts w:ascii="Calibri" w:eastAsia="Times New Roman" w:hAnsi="Calibri" w:cs="Times New Roman"/>
          <w:color w:val="000000" w:themeColor="text1"/>
        </w:rPr>
        <w:t xml:space="preserve">, with </w:t>
      </w:r>
      <w:r w:rsidR="008971C6" w:rsidRPr="001C2470">
        <w:rPr>
          <w:rFonts w:ascii="Calibri" w:eastAsia="Times New Roman" w:hAnsi="Calibri" w:cs="Times New Roman"/>
          <w:color w:val="000000" w:themeColor="text1"/>
        </w:rPr>
        <w:t>subsequent forecast</w:t>
      </w:r>
      <w:r w:rsidR="00604D3C" w:rsidRPr="001C2470">
        <w:rPr>
          <w:rFonts w:ascii="Calibri" w:eastAsia="Times New Roman" w:hAnsi="Calibri" w:cs="Times New Roman"/>
          <w:color w:val="000000" w:themeColor="text1"/>
        </w:rPr>
        <w:t xml:space="preserve"> </w:t>
      </w:r>
      <w:r w:rsidR="00826E36" w:rsidRPr="001C2470">
        <w:rPr>
          <w:rFonts w:ascii="Calibri" w:eastAsia="Times New Roman" w:hAnsi="Calibri" w:cs="Times New Roman"/>
          <w:color w:val="000000" w:themeColor="text1"/>
        </w:rPr>
        <w:t>shown</w:t>
      </w:r>
      <w:r w:rsidR="008659AF" w:rsidRPr="001C2470">
        <w:rPr>
          <w:rFonts w:ascii="Calibri" w:eastAsia="Times New Roman" w:hAnsi="Calibri" w:cs="Times New Roman"/>
          <w:color w:val="000000" w:themeColor="text1"/>
        </w:rPr>
        <w:t xml:space="preserve"> similarly.</w:t>
      </w:r>
      <w:r w:rsidR="00D26378">
        <w:rPr>
          <w:rFonts w:ascii="Calibri" w:eastAsia="Times New Roman" w:hAnsi="Calibri" w:cs="Times New Roman"/>
          <w:color w:val="000000" w:themeColor="text1"/>
        </w:rPr>
        <w:t xml:space="preserve"> </w:t>
      </w:r>
      <w:r w:rsidR="0053551B" w:rsidRPr="001C2470">
        <w:rPr>
          <w:color w:val="000000" w:themeColor="text1"/>
        </w:rPr>
        <w:t>It is clear from this Fig</w:t>
      </w:r>
      <w:r w:rsidR="0053551B">
        <w:rPr>
          <w:color w:val="000000" w:themeColor="text1"/>
        </w:rPr>
        <w:t xml:space="preserve">ure that the respondent views </w:t>
      </w:r>
      <w:r w:rsidR="0053551B" w:rsidRPr="001C2470">
        <w:rPr>
          <w:color w:val="000000" w:themeColor="text1"/>
        </w:rPr>
        <w:t>of the oil price three months, six-months, and 1-year ahead were consistently lower than the actual oil prices.</w:t>
      </w:r>
    </w:p>
    <w:p w14:paraId="033B0648" w14:textId="4F47E089" w:rsidR="008659AF" w:rsidRPr="00D021A9" w:rsidRDefault="008659AF" w:rsidP="00826E36">
      <w:pPr>
        <w:jc w:val="both"/>
        <w:rPr>
          <w:rFonts w:ascii="Calibri" w:eastAsia="Times New Roman" w:hAnsi="Calibri" w:cs="Times New Roman"/>
          <w:color w:val="000000" w:themeColor="text1"/>
          <w:sz w:val="12"/>
        </w:rPr>
      </w:pPr>
    </w:p>
    <w:p w14:paraId="56285408" w14:textId="77777777" w:rsidR="00902741" w:rsidRPr="00826E36" w:rsidRDefault="00902741" w:rsidP="00826E36">
      <w:pPr>
        <w:jc w:val="both"/>
      </w:pPr>
      <w:r w:rsidRPr="00826E36">
        <w:rPr>
          <w:noProof/>
          <w:lang w:eastAsia="ko-KR"/>
        </w:rPr>
        <w:lastRenderedPageBreak/>
        <w:drawing>
          <wp:inline distT="0" distB="0" distL="0" distR="0" wp14:anchorId="4A608A82" wp14:editId="61445798">
            <wp:extent cx="2867891" cy="1648606"/>
            <wp:effectExtent l="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6040" cy="1710776"/>
                    </a:xfrm>
                    <a:prstGeom prst="rect">
                      <a:avLst/>
                    </a:prstGeom>
                  </pic:spPr>
                </pic:pic>
              </a:graphicData>
            </a:graphic>
          </wp:inline>
        </w:drawing>
      </w:r>
      <w:r w:rsidRPr="00826E36">
        <w:t xml:space="preserve">  </w:t>
      </w:r>
      <w:r w:rsidRPr="00826E36">
        <w:rPr>
          <w:noProof/>
          <w:lang w:eastAsia="ko-KR"/>
        </w:rPr>
        <w:drawing>
          <wp:inline distT="0" distB="0" distL="0" distR="0" wp14:anchorId="66A43B9E" wp14:editId="2762E522">
            <wp:extent cx="2734945" cy="1662391"/>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4566" cy="1722944"/>
                    </a:xfrm>
                    <a:prstGeom prst="rect">
                      <a:avLst/>
                    </a:prstGeom>
                  </pic:spPr>
                </pic:pic>
              </a:graphicData>
            </a:graphic>
          </wp:inline>
        </w:drawing>
      </w:r>
    </w:p>
    <w:p w14:paraId="642CA69F" w14:textId="77777777" w:rsidR="00902741" w:rsidRPr="00826E36" w:rsidRDefault="00902741" w:rsidP="00826E36">
      <w:pPr>
        <w:jc w:val="both"/>
      </w:pPr>
    </w:p>
    <w:p w14:paraId="20011B4C" w14:textId="77777777" w:rsidR="00902741" w:rsidRPr="00826E36" w:rsidRDefault="00902741" w:rsidP="00826E36">
      <w:pPr>
        <w:jc w:val="both"/>
      </w:pPr>
      <w:r w:rsidRPr="00826E36">
        <w:rPr>
          <w:noProof/>
          <w:lang w:eastAsia="ko-KR"/>
        </w:rPr>
        <w:drawing>
          <wp:inline distT="0" distB="0" distL="0" distR="0" wp14:anchorId="42FCA4C2" wp14:editId="051BE45E">
            <wp:extent cx="2779268" cy="1625947"/>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9035" cy="1660912"/>
                    </a:xfrm>
                    <a:prstGeom prst="rect">
                      <a:avLst/>
                    </a:prstGeom>
                  </pic:spPr>
                </pic:pic>
              </a:graphicData>
            </a:graphic>
          </wp:inline>
        </w:drawing>
      </w:r>
      <w:r w:rsidRPr="00826E36">
        <w:t xml:space="preserve">  </w:t>
      </w:r>
      <w:r w:rsidRPr="00826E36">
        <w:rPr>
          <w:noProof/>
          <w:lang w:eastAsia="ko-KR"/>
        </w:rPr>
        <w:drawing>
          <wp:inline distT="0" distB="0" distL="0" distR="0" wp14:anchorId="2B25BC9A" wp14:editId="7B59EE54">
            <wp:extent cx="2708563" cy="1625138"/>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08563" cy="1625138"/>
                    </a:xfrm>
                    <a:prstGeom prst="rect">
                      <a:avLst/>
                    </a:prstGeom>
                  </pic:spPr>
                </pic:pic>
              </a:graphicData>
            </a:graphic>
          </wp:inline>
        </w:drawing>
      </w:r>
    </w:p>
    <w:p w14:paraId="7993A160" w14:textId="77777777" w:rsidR="00C7798C" w:rsidRPr="00D021A9" w:rsidRDefault="00C7798C" w:rsidP="00317AA4">
      <w:pPr>
        <w:jc w:val="center"/>
        <w:rPr>
          <w:color w:val="000000" w:themeColor="text1"/>
          <w:sz w:val="6"/>
        </w:rPr>
      </w:pPr>
    </w:p>
    <w:p w14:paraId="2099C28A" w14:textId="418ADFC3" w:rsidR="00902741" w:rsidRPr="00826E36" w:rsidRDefault="00902741" w:rsidP="00317AA4">
      <w:pPr>
        <w:jc w:val="center"/>
      </w:pPr>
      <w:r w:rsidRPr="00B8392D">
        <w:rPr>
          <w:color w:val="000000" w:themeColor="text1"/>
        </w:rPr>
        <w:t xml:space="preserve">Figure </w:t>
      </w:r>
      <w:r w:rsidR="00B804C2" w:rsidRPr="00B8392D">
        <w:rPr>
          <w:color w:val="000000" w:themeColor="text1"/>
        </w:rPr>
        <w:t>1</w:t>
      </w:r>
      <w:r w:rsidR="00C7798C">
        <w:rPr>
          <w:color w:val="000000" w:themeColor="text1"/>
        </w:rPr>
        <w:t>:</w:t>
      </w:r>
      <w:r w:rsidRPr="00B8392D">
        <w:rPr>
          <w:color w:val="000000" w:themeColor="text1"/>
        </w:rPr>
        <w:t xml:space="preserve"> </w:t>
      </w:r>
      <w:r w:rsidR="00826E36" w:rsidRPr="00B8392D">
        <w:rPr>
          <w:color w:val="000000" w:themeColor="text1"/>
        </w:rPr>
        <w:t>Comparison</w:t>
      </w:r>
      <w:r w:rsidRPr="00B8392D">
        <w:rPr>
          <w:color w:val="000000" w:themeColor="text1"/>
        </w:rPr>
        <w:t xml:space="preserve"> </w:t>
      </w:r>
      <w:r w:rsidRPr="00826E36">
        <w:t>of respondent</w:t>
      </w:r>
      <w:r w:rsidR="001C2470">
        <w:t>s’ views</w:t>
      </w:r>
      <w:r w:rsidR="00604D3C">
        <w:t xml:space="preserve"> made at four different dates </w:t>
      </w:r>
      <w:r w:rsidR="00826E36" w:rsidRPr="00826E36">
        <w:t>of</w:t>
      </w:r>
      <w:r w:rsidRPr="00826E36">
        <w:t xml:space="preserve"> </w:t>
      </w:r>
      <w:r w:rsidR="00604D3C">
        <w:t xml:space="preserve">the </w:t>
      </w:r>
      <w:r w:rsidRPr="00826E36">
        <w:t xml:space="preserve">oil price for 3 </w:t>
      </w:r>
      <w:r w:rsidR="00826E36" w:rsidRPr="00826E36">
        <w:t xml:space="preserve">months, </w:t>
      </w:r>
      <w:r w:rsidRPr="00826E36">
        <w:t xml:space="preserve">6 </w:t>
      </w:r>
      <w:r w:rsidR="00826E36" w:rsidRPr="00826E36">
        <w:t>months</w:t>
      </w:r>
      <w:r w:rsidR="00604D3C">
        <w:t xml:space="preserve"> and 1 year ahead</w:t>
      </w:r>
      <w:r w:rsidR="001C2470">
        <w:t>, with the actual prices at these dates</w:t>
      </w:r>
    </w:p>
    <w:p w14:paraId="447683AE" w14:textId="77777777" w:rsidR="00BA6899" w:rsidRPr="00D021A9" w:rsidRDefault="00BA6899" w:rsidP="00826E36">
      <w:pPr>
        <w:jc w:val="both"/>
        <w:rPr>
          <w:color w:val="000000" w:themeColor="text1"/>
          <w:sz w:val="12"/>
        </w:rPr>
      </w:pPr>
    </w:p>
    <w:p w14:paraId="2CBF30EE" w14:textId="4AD11EBB" w:rsidR="00D62B03" w:rsidRPr="00C7798C" w:rsidRDefault="00D62B03" w:rsidP="00C7798C">
      <w:pPr>
        <w:pStyle w:val="ListParagraph"/>
        <w:numPr>
          <w:ilvl w:val="0"/>
          <w:numId w:val="41"/>
        </w:numPr>
        <w:snapToGrid w:val="0"/>
        <w:ind w:left="284" w:hanging="284"/>
        <w:jc w:val="both"/>
        <w:rPr>
          <w:rFonts w:cs="Times New Roman"/>
          <w:b/>
          <w:color w:val="000000" w:themeColor="text1"/>
          <w:u w:val="single"/>
        </w:rPr>
      </w:pPr>
      <w:r w:rsidRPr="00C7798C">
        <w:rPr>
          <w:rFonts w:cs="Times New Roman"/>
          <w:b/>
          <w:color w:val="000000" w:themeColor="text1"/>
          <w:u w:val="single"/>
        </w:rPr>
        <w:t>Discussion and Conclusions</w:t>
      </w:r>
    </w:p>
    <w:p w14:paraId="3086A182" w14:textId="77777777" w:rsidR="00C7798C" w:rsidRPr="00D021A9" w:rsidRDefault="00C7798C" w:rsidP="00C7798C">
      <w:pPr>
        <w:snapToGrid w:val="0"/>
        <w:jc w:val="both"/>
        <w:rPr>
          <w:rFonts w:cs="Times New Roman"/>
          <w:b/>
          <w:color w:val="000000" w:themeColor="text1"/>
          <w:sz w:val="6"/>
          <w:u w:val="single"/>
        </w:rPr>
      </w:pPr>
    </w:p>
    <w:p w14:paraId="7EE2B879" w14:textId="3002CD6C" w:rsidR="00B70ED7" w:rsidRPr="00FC71AE" w:rsidRDefault="0053551B" w:rsidP="00826E36">
      <w:pPr>
        <w:snapToGrid w:val="0"/>
        <w:jc w:val="both"/>
        <w:rPr>
          <w:rFonts w:cs="Times New Roman"/>
          <w:b/>
          <w:color w:val="000000" w:themeColor="text1"/>
        </w:rPr>
      </w:pPr>
      <w:r>
        <w:rPr>
          <w:rFonts w:cs="Times New Roman"/>
          <w:b/>
          <w:color w:val="000000" w:themeColor="text1"/>
        </w:rPr>
        <w:t>6</w:t>
      </w:r>
      <w:r w:rsidR="00B70ED7" w:rsidRPr="00FC71AE">
        <w:rPr>
          <w:rFonts w:cs="Times New Roman"/>
          <w:b/>
          <w:color w:val="000000" w:themeColor="text1"/>
        </w:rPr>
        <w:t>.1 Discussion</w:t>
      </w:r>
    </w:p>
    <w:p w14:paraId="3581A7C3" w14:textId="5E8085FC" w:rsidR="00884541" w:rsidRDefault="00EB5C5B" w:rsidP="00826E36">
      <w:pPr>
        <w:snapToGrid w:val="0"/>
        <w:jc w:val="both"/>
        <w:rPr>
          <w:rFonts w:cs="Times New Roman"/>
          <w:color w:val="000000" w:themeColor="text1"/>
        </w:rPr>
      </w:pPr>
      <w:r>
        <w:rPr>
          <w:rFonts w:cs="Times New Roman"/>
          <w:color w:val="000000" w:themeColor="text1"/>
        </w:rPr>
        <w:t>In underestimating the rise in oil prices, these profess</w:t>
      </w:r>
      <w:r w:rsidR="00884541">
        <w:rPr>
          <w:rFonts w:cs="Times New Roman"/>
          <w:color w:val="000000" w:themeColor="text1"/>
        </w:rPr>
        <w:t xml:space="preserve">ionals managing, and teaching about, </w:t>
      </w:r>
      <w:r>
        <w:rPr>
          <w:rFonts w:cs="Times New Roman"/>
          <w:color w:val="000000" w:themeColor="text1"/>
        </w:rPr>
        <w:t xml:space="preserve">the logistics and SC industries are in good company. </w:t>
      </w:r>
      <w:r w:rsidRPr="0057585A">
        <w:rPr>
          <w:rFonts w:cs="Times New Roman"/>
          <w:color w:val="000000" w:themeColor="text1"/>
        </w:rPr>
        <w:t xml:space="preserve">As </w:t>
      </w:r>
      <w:r w:rsidR="0057585A" w:rsidRPr="0057585A">
        <w:rPr>
          <w:rFonts w:cs="Times New Roman"/>
          <w:color w:val="000000" w:themeColor="text1"/>
        </w:rPr>
        <w:t>Figure 2</w:t>
      </w:r>
      <w:r w:rsidRPr="0057585A">
        <w:rPr>
          <w:rFonts w:cs="Times New Roman"/>
          <w:color w:val="000000" w:themeColor="text1"/>
        </w:rPr>
        <w:t xml:space="preserve"> shows, </w:t>
      </w:r>
      <w:r>
        <w:rPr>
          <w:rFonts w:cs="Times New Roman"/>
          <w:color w:val="000000" w:themeColor="text1"/>
        </w:rPr>
        <w:t>one the world’s foremost oil forecasting bodies</w:t>
      </w:r>
      <w:r w:rsidR="00884541">
        <w:rPr>
          <w:rFonts w:cs="Times New Roman"/>
          <w:color w:val="000000" w:themeColor="text1"/>
        </w:rPr>
        <w:t xml:space="preserve">, the IEA, </w:t>
      </w:r>
      <w:r>
        <w:rPr>
          <w:rFonts w:cs="Times New Roman"/>
          <w:color w:val="000000" w:themeColor="text1"/>
        </w:rPr>
        <w:t>consistently under-forecast the price of oil over the period 2004 to 2007</w:t>
      </w:r>
      <w:r w:rsidR="00884541">
        <w:rPr>
          <w:rFonts w:cs="Times New Roman"/>
          <w:color w:val="000000" w:themeColor="text1"/>
        </w:rPr>
        <w:t>. During this period</w:t>
      </w:r>
      <w:r w:rsidR="005E3522">
        <w:rPr>
          <w:rFonts w:cs="Times New Roman"/>
          <w:color w:val="000000" w:themeColor="text1"/>
        </w:rPr>
        <w:t>,</w:t>
      </w:r>
      <w:r w:rsidR="00884541">
        <w:rPr>
          <w:rFonts w:cs="Times New Roman"/>
          <w:color w:val="000000" w:themeColor="text1"/>
        </w:rPr>
        <w:t xml:space="preserve"> they simply extrapolated the</w:t>
      </w:r>
      <w:r>
        <w:rPr>
          <w:rFonts w:cs="Times New Roman"/>
          <w:color w:val="000000" w:themeColor="text1"/>
        </w:rPr>
        <w:t xml:space="preserve"> oil price at </w:t>
      </w:r>
      <w:r w:rsidR="00884541">
        <w:rPr>
          <w:rFonts w:cs="Times New Roman"/>
          <w:color w:val="000000" w:themeColor="text1"/>
        </w:rPr>
        <w:t>about the then-current price</w:t>
      </w:r>
      <w:r>
        <w:rPr>
          <w:rFonts w:cs="Times New Roman"/>
          <w:color w:val="000000" w:themeColor="text1"/>
        </w:rPr>
        <w:t xml:space="preserve"> to the end of their forecast horizons. The Annex explains the constraints in global production of </w:t>
      </w:r>
      <w:r w:rsidRPr="00293A6E">
        <w:rPr>
          <w:rFonts w:cs="Times New Roman"/>
          <w:i/>
          <w:color w:val="000000" w:themeColor="text1"/>
        </w:rPr>
        <w:t>conventional</w:t>
      </w:r>
      <w:r>
        <w:rPr>
          <w:rFonts w:cs="Times New Roman"/>
          <w:color w:val="000000" w:themeColor="text1"/>
        </w:rPr>
        <w:t xml:space="preserve"> oil that drove the </w:t>
      </w:r>
      <w:r w:rsidR="000B6BE7">
        <w:rPr>
          <w:rFonts w:cs="Times New Roman"/>
          <w:color w:val="000000" w:themeColor="text1"/>
        </w:rPr>
        <w:t>prices rises from about the year 200</w:t>
      </w:r>
      <w:r w:rsidR="00D84086">
        <w:rPr>
          <w:rFonts w:cs="Times New Roman"/>
          <w:color w:val="000000" w:themeColor="text1"/>
        </w:rPr>
        <w:t>4</w:t>
      </w:r>
      <w:r w:rsidR="00884541">
        <w:rPr>
          <w:rFonts w:cs="Times New Roman"/>
          <w:color w:val="000000" w:themeColor="text1"/>
        </w:rPr>
        <w:t xml:space="preserve">. But </w:t>
      </w:r>
      <w:r w:rsidR="000B6BE7">
        <w:rPr>
          <w:rFonts w:cs="Times New Roman"/>
          <w:color w:val="000000" w:themeColor="text1"/>
        </w:rPr>
        <w:t>due to limitations in the IEA’s modelling at that time, the</w:t>
      </w:r>
      <w:r w:rsidR="00884541">
        <w:rPr>
          <w:rFonts w:cs="Times New Roman"/>
          <w:color w:val="000000" w:themeColor="text1"/>
        </w:rPr>
        <w:t>se</w:t>
      </w:r>
      <w:r w:rsidR="000B6BE7">
        <w:rPr>
          <w:rFonts w:cs="Times New Roman"/>
          <w:color w:val="000000" w:themeColor="text1"/>
        </w:rPr>
        <w:t xml:space="preserve"> drivers of the</w:t>
      </w:r>
      <w:r w:rsidR="00884541">
        <w:rPr>
          <w:rFonts w:cs="Times New Roman"/>
          <w:color w:val="000000" w:themeColor="text1"/>
        </w:rPr>
        <w:t xml:space="preserve"> price rise were not adequately u</w:t>
      </w:r>
      <w:r w:rsidR="000B6BE7">
        <w:rPr>
          <w:rFonts w:cs="Times New Roman"/>
          <w:color w:val="000000" w:themeColor="text1"/>
        </w:rPr>
        <w:t xml:space="preserve">nderstood. This situation changed in 2008, after the IEA had carried out detailed analysis of oil field decline rates. With these decline rates now </w:t>
      </w:r>
      <w:r w:rsidR="00884541">
        <w:rPr>
          <w:rFonts w:cs="Times New Roman"/>
          <w:color w:val="000000" w:themeColor="text1"/>
        </w:rPr>
        <w:t>in their model</w:t>
      </w:r>
      <w:r w:rsidR="000B6BE7">
        <w:rPr>
          <w:rFonts w:cs="Times New Roman"/>
          <w:color w:val="000000" w:themeColor="text1"/>
        </w:rPr>
        <w:t>, the difficulty of meeting future demand for oil with</w:t>
      </w:r>
      <w:r w:rsidR="00DB7027">
        <w:rPr>
          <w:rFonts w:cs="Times New Roman"/>
          <w:color w:val="000000" w:themeColor="text1"/>
        </w:rPr>
        <w:t>out</w:t>
      </w:r>
      <w:r w:rsidR="000B6BE7">
        <w:rPr>
          <w:rFonts w:cs="Times New Roman"/>
          <w:color w:val="000000" w:themeColor="text1"/>
        </w:rPr>
        <w:t xml:space="preserve"> significantly increasing oil prices became clear</w:t>
      </w:r>
      <w:r w:rsidR="00884541">
        <w:rPr>
          <w:rFonts w:cs="Times New Roman"/>
          <w:color w:val="000000" w:themeColor="text1"/>
        </w:rPr>
        <w:t xml:space="preserve">. This is </w:t>
      </w:r>
      <w:r w:rsidR="00884541" w:rsidRPr="00B8392D">
        <w:rPr>
          <w:rFonts w:cs="Times New Roman"/>
          <w:color w:val="000000" w:themeColor="text1"/>
        </w:rPr>
        <w:t xml:space="preserve">shown in </w:t>
      </w:r>
      <w:r w:rsidR="00B8392D" w:rsidRPr="00B8392D">
        <w:rPr>
          <w:rFonts w:cs="Times New Roman"/>
          <w:color w:val="000000" w:themeColor="text1"/>
        </w:rPr>
        <w:t>Figure 2</w:t>
      </w:r>
      <w:r w:rsidR="00B8392D">
        <w:rPr>
          <w:rFonts w:cs="Times New Roman"/>
          <w:color w:val="000000" w:themeColor="text1"/>
        </w:rPr>
        <w:t xml:space="preserve">, which since 2008 </w:t>
      </w:r>
      <w:r w:rsidR="00884541" w:rsidRPr="00B8392D">
        <w:rPr>
          <w:rFonts w:cs="Times New Roman"/>
          <w:color w:val="000000" w:themeColor="text1"/>
        </w:rPr>
        <w:t xml:space="preserve">consistently </w:t>
      </w:r>
      <w:r w:rsidR="00B8392D">
        <w:rPr>
          <w:rFonts w:cs="Times New Roman"/>
          <w:color w:val="000000" w:themeColor="text1"/>
        </w:rPr>
        <w:t xml:space="preserve">gives </w:t>
      </w:r>
      <w:r w:rsidR="00884541">
        <w:rPr>
          <w:rFonts w:cs="Times New Roman"/>
          <w:color w:val="000000" w:themeColor="text1"/>
        </w:rPr>
        <w:t xml:space="preserve">an expectation for the real-terms oil price by 2030 to be in the </w:t>
      </w:r>
      <w:r w:rsidR="00B8392D">
        <w:rPr>
          <w:rFonts w:cs="Times New Roman"/>
          <w:color w:val="000000" w:themeColor="text1"/>
        </w:rPr>
        <w:t>$115 to 140</w:t>
      </w:r>
      <w:r w:rsidR="00884541">
        <w:rPr>
          <w:rFonts w:cs="Times New Roman"/>
          <w:color w:val="000000" w:themeColor="text1"/>
        </w:rPr>
        <w:t>/bbl range.</w:t>
      </w:r>
    </w:p>
    <w:p w14:paraId="0C12EF4F" w14:textId="77777777" w:rsidR="00884541" w:rsidRPr="00D021A9" w:rsidRDefault="00884541" w:rsidP="00826E36">
      <w:pPr>
        <w:snapToGrid w:val="0"/>
        <w:jc w:val="both"/>
        <w:rPr>
          <w:rFonts w:cs="Times New Roman"/>
          <w:color w:val="000000" w:themeColor="text1"/>
          <w:sz w:val="10"/>
        </w:rPr>
      </w:pPr>
    </w:p>
    <w:p w14:paraId="30FC428F" w14:textId="695C152C" w:rsidR="0071096B" w:rsidRPr="00826E36" w:rsidRDefault="0071096B" w:rsidP="00C7798C">
      <w:pPr>
        <w:snapToGrid w:val="0"/>
        <w:jc w:val="center"/>
        <w:rPr>
          <w:rFonts w:cs="Times New Roman"/>
          <w:b/>
          <w:color w:val="FF0000"/>
        </w:rPr>
      </w:pPr>
      <w:r w:rsidRPr="00826E36">
        <w:rPr>
          <w:rFonts w:cs="Times New Roman"/>
          <w:b/>
          <w:noProof/>
          <w:color w:val="FF0000"/>
          <w:lang w:eastAsia="ko-KR"/>
        </w:rPr>
        <w:drawing>
          <wp:inline distT="0" distB="0" distL="0" distR="0" wp14:anchorId="7F7EECE0" wp14:editId="1472BA0F">
            <wp:extent cx="3393496" cy="1817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530" cy="1836960"/>
                    </a:xfrm>
                    <a:prstGeom prst="rect">
                      <a:avLst/>
                    </a:prstGeom>
                  </pic:spPr>
                </pic:pic>
              </a:graphicData>
            </a:graphic>
          </wp:inline>
        </w:drawing>
      </w:r>
    </w:p>
    <w:p w14:paraId="314E6E15" w14:textId="587D413A" w:rsidR="00C7798C" w:rsidRPr="00D021A9" w:rsidRDefault="00C7798C" w:rsidP="00C7798C">
      <w:pPr>
        <w:snapToGrid w:val="0"/>
        <w:jc w:val="right"/>
        <w:rPr>
          <w:rFonts w:cs="Times New Roman"/>
          <w:color w:val="000000" w:themeColor="text1"/>
          <w:sz w:val="18"/>
        </w:rPr>
      </w:pPr>
      <w:r w:rsidRPr="00D021A9">
        <w:rPr>
          <w:rFonts w:cs="Times New Roman"/>
          <w:color w:val="000000" w:themeColor="text1"/>
          <w:sz w:val="18"/>
        </w:rPr>
        <w:t xml:space="preserve">Source: </w:t>
      </w:r>
      <w:proofErr w:type="spellStart"/>
      <w:r w:rsidRPr="00D021A9">
        <w:rPr>
          <w:rFonts w:cs="Times New Roman"/>
          <w:color w:val="000000" w:themeColor="text1"/>
          <w:sz w:val="18"/>
        </w:rPr>
        <w:t>Wachtmeister</w:t>
      </w:r>
      <w:proofErr w:type="spellEnd"/>
      <w:r w:rsidRPr="00D021A9">
        <w:rPr>
          <w:rFonts w:cs="Times New Roman"/>
          <w:color w:val="000000" w:themeColor="text1"/>
          <w:sz w:val="18"/>
        </w:rPr>
        <w:t xml:space="preserve"> et al. (2018)</w:t>
      </w:r>
    </w:p>
    <w:p w14:paraId="5B641AB7" w14:textId="77777777" w:rsidR="00D26378" w:rsidRPr="00D26378" w:rsidRDefault="00D26378" w:rsidP="00317AA4">
      <w:pPr>
        <w:snapToGrid w:val="0"/>
        <w:jc w:val="center"/>
        <w:rPr>
          <w:rFonts w:cs="Times New Roman"/>
          <w:color w:val="000000" w:themeColor="text1"/>
          <w:sz w:val="10"/>
        </w:rPr>
      </w:pPr>
    </w:p>
    <w:p w14:paraId="3544057A" w14:textId="74B19312" w:rsidR="005E3522" w:rsidRDefault="0071096B" w:rsidP="00317AA4">
      <w:pPr>
        <w:snapToGrid w:val="0"/>
        <w:jc w:val="center"/>
        <w:rPr>
          <w:rFonts w:cs="Times New Roman"/>
          <w:color w:val="000000" w:themeColor="text1"/>
        </w:rPr>
      </w:pPr>
      <w:r w:rsidRPr="00B8392D">
        <w:rPr>
          <w:rFonts w:cs="Times New Roman"/>
          <w:color w:val="000000" w:themeColor="text1"/>
        </w:rPr>
        <w:t>Figure 2</w:t>
      </w:r>
      <w:r w:rsidR="00C7798C">
        <w:rPr>
          <w:rFonts w:cs="Times New Roman"/>
          <w:color w:val="000000" w:themeColor="text1"/>
        </w:rPr>
        <w:t>:</w:t>
      </w:r>
      <w:r w:rsidRPr="00B8392D">
        <w:rPr>
          <w:rFonts w:cs="Times New Roman"/>
          <w:color w:val="000000" w:themeColor="text1"/>
        </w:rPr>
        <w:t xml:space="preserve"> Historical world oil production and price from 1950 to 2015</w:t>
      </w:r>
      <w:r w:rsidR="0057585A">
        <w:rPr>
          <w:rFonts w:cs="Times New Roman"/>
          <w:color w:val="000000" w:themeColor="text1"/>
        </w:rPr>
        <w:t>,</w:t>
      </w:r>
      <w:r w:rsidRPr="00B8392D">
        <w:rPr>
          <w:rFonts w:cs="Times New Roman"/>
          <w:color w:val="000000" w:themeColor="text1"/>
        </w:rPr>
        <w:t xml:space="preserve"> and projections for </w:t>
      </w:r>
      <w:r w:rsidR="005E3522">
        <w:rPr>
          <w:rFonts w:cs="Times New Roman"/>
          <w:color w:val="000000" w:themeColor="text1"/>
        </w:rPr>
        <w:t>w</w:t>
      </w:r>
      <w:r w:rsidRPr="00B8392D">
        <w:rPr>
          <w:rFonts w:cs="Times New Roman"/>
          <w:color w:val="000000" w:themeColor="text1"/>
        </w:rPr>
        <w:t>orld oil supply and oil prices from central scenarios of WEO 2000-2016.</w:t>
      </w:r>
      <w:r w:rsidR="00B8392D">
        <w:rPr>
          <w:rFonts w:cs="Times New Roman"/>
          <w:color w:val="000000" w:themeColor="text1"/>
        </w:rPr>
        <w:t xml:space="preserve"> </w:t>
      </w:r>
    </w:p>
    <w:p w14:paraId="31914E59" w14:textId="77777777" w:rsidR="00D26378" w:rsidRDefault="00D26378" w:rsidP="00826E36">
      <w:pPr>
        <w:snapToGrid w:val="0"/>
        <w:jc w:val="both"/>
        <w:rPr>
          <w:rFonts w:cs="Times New Roman"/>
          <w:color w:val="000000" w:themeColor="text1"/>
        </w:rPr>
        <w:sectPr w:rsidR="00D26378" w:rsidSect="00D26378">
          <w:headerReference w:type="default" r:id="rId13"/>
          <w:footerReference w:type="default" r:id="rId14"/>
          <w:pgSz w:w="11906" w:h="16838"/>
          <w:pgMar w:top="1304" w:right="1418" w:bottom="1304" w:left="1418" w:header="709" w:footer="709" w:gutter="0"/>
          <w:cols w:space="708"/>
          <w:docGrid w:linePitch="360"/>
        </w:sectPr>
      </w:pPr>
    </w:p>
    <w:p w14:paraId="03694E3A" w14:textId="2A0233FE" w:rsidR="00293A6E" w:rsidRDefault="0071096B" w:rsidP="00826E36">
      <w:pPr>
        <w:snapToGrid w:val="0"/>
        <w:jc w:val="both"/>
        <w:rPr>
          <w:rFonts w:cs="Times New Roman"/>
          <w:color w:val="000000" w:themeColor="text1"/>
        </w:rPr>
      </w:pPr>
      <w:r>
        <w:rPr>
          <w:rFonts w:cs="Times New Roman"/>
          <w:color w:val="000000" w:themeColor="text1"/>
        </w:rPr>
        <w:lastRenderedPageBreak/>
        <w:t>However, l</w:t>
      </w:r>
      <w:r w:rsidR="00884541">
        <w:rPr>
          <w:rFonts w:cs="Times New Roman"/>
          <w:color w:val="000000" w:themeColor="text1"/>
        </w:rPr>
        <w:t>ittle in oil forecast</w:t>
      </w:r>
      <w:bookmarkStart w:id="0" w:name="_GoBack"/>
      <w:bookmarkEnd w:id="0"/>
      <w:r w:rsidR="00884541">
        <w:rPr>
          <w:rFonts w:cs="Times New Roman"/>
          <w:color w:val="000000" w:themeColor="text1"/>
        </w:rPr>
        <w:t xml:space="preserve">ing is simple. The advent of light-tight (‘shale’) oil caught just about everybody by surprise, though </w:t>
      </w:r>
      <w:r>
        <w:rPr>
          <w:rFonts w:cs="Times New Roman"/>
          <w:color w:val="000000" w:themeColor="text1"/>
        </w:rPr>
        <w:t>the rapid increase</w:t>
      </w:r>
      <w:r w:rsidR="00884541">
        <w:rPr>
          <w:rFonts w:cs="Times New Roman"/>
          <w:color w:val="000000" w:themeColor="text1"/>
        </w:rPr>
        <w:t xml:space="preserve"> in production of this class of oil is now incorporated in nearly all modelling (</w:t>
      </w:r>
      <w:r>
        <w:rPr>
          <w:rFonts w:cs="Times New Roman"/>
          <w:color w:val="000000" w:themeColor="text1"/>
        </w:rPr>
        <w:t>including in the IEA’s,</w:t>
      </w:r>
      <w:r w:rsidR="00884541">
        <w:rPr>
          <w:rFonts w:cs="Times New Roman"/>
          <w:color w:val="000000" w:themeColor="text1"/>
        </w:rPr>
        <w:t xml:space="preserve"> in </w:t>
      </w:r>
      <w:r w:rsidR="00884541" w:rsidRPr="008531E1">
        <w:rPr>
          <w:rFonts w:cs="Times New Roman"/>
          <w:color w:val="000000" w:themeColor="text1"/>
        </w:rPr>
        <w:t xml:space="preserve">Figure </w:t>
      </w:r>
      <w:r w:rsidR="008531E1" w:rsidRPr="008531E1">
        <w:rPr>
          <w:rFonts w:cs="Times New Roman"/>
          <w:color w:val="000000" w:themeColor="text1"/>
        </w:rPr>
        <w:t>2</w:t>
      </w:r>
      <w:r w:rsidR="00884541" w:rsidRPr="008531E1">
        <w:rPr>
          <w:rFonts w:cs="Times New Roman"/>
          <w:color w:val="000000" w:themeColor="text1"/>
        </w:rPr>
        <w:t xml:space="preserve">). </w:t>
      </w:r>
      <w:r w:rsidR="00884541">
        <w:rPr>
          <w:rFonts w:cs="Times New Roman"/>
          <w:color w:val="000000" w:themeColor="text1"/>
        </w:rPr>
        <w:t xml:space="preserve">But the new </w:t>
      </w:r>
      <w:r>
        <w:rPr>
          <w:rFonts w:cs="Times New Roman"/>
          <w:color w:val="000000" w:themeColor="text1"/>
        </w:rPr>
        <w:t>uncertainty</w:t>
      </w:r>
      <w:r w:rsidR="00884541">
        <w:rPr>
          <w:rFonts w:cs="Times New Roman"/>
          <w:color w:val="000000" w:themeColor="text1"/>
        </w:rPr>
        <w:t xml:space="preserve"> is whether </w:t>
      </w:r>
      <w:r w:rsidR="00293A6E">
        <w:rPr>
          <w:rFonts w:cs="Times New Roman"/>
          <w:color w:val="000000" w:themeColor="text1"/>
        </w:rPr>
        <w:t xml:space="preserve">reductions in oil </w:t>
      </w:r>
      <w:r w:rsidR="00293A6E" w:rsidRPr="00293A6E">
        <w:rPr>
          <w:rFonts w:cs="Times New Roman"/>
          <w:i/>
          <w:color w:val="000000" w:themeColor="text1"/>
        </w:rPr>
        <w:t>demand</w:t>
      </w:r>
      <w:r w:rsidR="005E3522">
        <w:rPr>
          <w:rFonts w:cs="Times New Roman"/>
          <w:color w:val="000000" w:themeColor="text1"/>
        </w:rPr>
        <w:t>,</w:t>
      </w:r>
      <w:r w:rsidR="00293A6E">
        <w:rPr>
          <w:rFonts w:cs="Times New Roman"/>
          <w:color w:val="000000" w:themeColor="text1"/>
        </w:rPr>
        <w:t xml:space="preserve"> driven by the need to avoid too-serious climate change and other reasons</w:t>
      </w:r>
      <w:r w:rsidR="005E3522">
        <w:rPr>
          <w:rFonts w:cs="Times New Roman"/>
          <w:color w:val="000000" w:themeColor="text1"/>
        </w:rPr>
        <w:t>,</w:t>
      </w:r>
      <w:r w:rsidR="00293A6E">
        <w:rPr>
          <w:rFonts w:cs="Times New Roman"/>
          <w:color w:val="000000" w:themeColor="text1"/>
        </w:rPr>
        <w:t xml:space="preserve"> will trump the supply constraints built in</w:t>
      </w:r>
      <w:r>
        <w:rPr>
          <w:rFonts w:cs="Times New Roman"/>
          <w:color w:val="000000" w:themeColor="text1"/>
        </w:rPr>
        <w:t>to</w:t>
      </w:r>
      <w:r w:rsidR="00293A6E">
        <w:rPr>
          <w:rFonts w:cs="Times New Roman"/>
          <w:color w:val="000000" w:themeColor="text1"/>
        </w:rPr>
        <w:t xml:space="preserve"> the models of the IEA and others. Quite a number of respected organisations now hold this </w:t>
      </w:r>
      <w:r>
        <w:rPr>
          <w:rFonts w:cs="Times New Roman"/>
          <w:color w:val="000000" w:themeColor="text1"/>
        </w:rPr>
        <w:t xml:space="preserve">view of </w:t>
      </w:r>
      <w:r w:rsidR="00293A6E">
        <w:rPr>
          <w:rFonts w:cs="Times New Roman"/>
          <w:color w:val="000000" w:themeColor="text1"/>
        </w:rPr>
        <w:t>‘peak demand as the dr</w:t>
      </w:r>
      <w:r>
        <w:rPr>
          <w:rFonts w:cs="Times New Roman"/>
          <w:color w:val="000000" w:themeColor="text1"/>
        </w:rPr>
        <w:t>iver for peak production, before</w:t>
      </w:r>
      <w:r w:rsidR="00293A6E">
        <w:rPr>
          <w:rFonts w:cs="Times New Roman"/>
          <w:color w:val="000000" w:themeColor="text1"/>
        </w:rPr>
        <w:t xml:space="preserve"> peak supply’, including DNV-GL, the World Energy Council, Citi Bank etc. But the more ‘mainstream’ modellers, such</w:t>
      </w:r>
      <w:r w:rsidR="00755268">
        <w:rPr>
          <w:rFonts w:cs="Times New Roman"/>
          <w:color w:val="000000" w:themeColor="text1"/>
        </w:rPr>
        <w:t xml:space="preserve"> as the IEA, ExxonMobil, BP, as well as</w:t>
      </w:r>
      <w:r w:rsidR="00293A6E">
        <w:rPr>
          <w:rFonts w:cs="Times New Roman"/>
          <w:color w:val="000000" w:themeColor="text1"/>
        </w:rPr>
        <w:t xml:space="preserve"> most of the ‘</w:t>
      </w:r>
      <w:r>
        <w:rPr>
          <w:rFonts w:cs="Times New Roman"/>
          <w:color w:val="000000" w:themeColor="text1"/>
        </w:rPr>
        <w:t>independe</w:t>
      </w:r>
      <w:r w:rsidR="00293A6E">
        <w:rPr>
          <w:rFonts w:cs="Times New Roman"/>
          <w:color w:val="000000" w:themeColor="text1"/>
        </w:rPr>
        <w:t>nts’ such as Rystad Energy</w:t>
      </w:r>
      <w:r w:rsidR="00755268">
        <w:rPr>
          <w:rFonts w:cs="Times New Roman"/>
          <w:color w:val="000000" w:themeColor="text1"/>
        </w:rPr>
        <w:t xml:space="preserve"> and</w:t>
      </w:r>
      <w:r w:rsidR="00293A6E">
        <w:rPr>
          <w:rFonts w:cs="Times New Roman"/>
          <w:color w:val="000000" w:themeColor="text1"/>
        </w:rPr>
        <w:t xml:space="preserve"> Globalshift Ltd., maintain that while light electric vehicles will indeed see rapid increases in the market, </w:t>
      </w:r>
      <w:r w:rsidR="00755268">
        <w:rPr>
          <w:rFonts w:cs="Times New Roman"/>
          <w:color w:val="000000" w:themeColor="text1"/>
        </w:rPr>
        <w:t xml:space="preserve">overall oil demand </w:t>
      </w:r>
      <w:r w:rsidR="00293A6E">
        <w:rPr>
          <w:rFonts w:cs="Times New Roman"/>
          <w:color w:val="000000" w:themeColor="text1"/>
        </w:rPr>
        <w:t>will con</w:t>
      </w:r>
      <w:r>
        <w:rPr>
          <w:rFonts w:cs="Times New Roman"/>
          <w:color w:val="000000" w:themeColor="text1"/>
        </w:rPr>
        <w:t>tinu</w:t>
      </w:r>
      <w:r w:rsidR="00293A6E">
        <w:rPr>
          <w:rFonts w:cs="Times New Roman"/>
          <w:color w:val="000000" w:themeColor="text1"/>
        </w:rPr>
        <w:t xml:space="preserve">e </w:t>
      </w:r>
      <w:r w:rsidR="00755268">
        <w:rPr>
          <w:rFonts w:cs="Times New Roman"/>
          <w:color w:val="000000" w:themeColor="text1"/>
        </w:rPr>
        <w:t>to increase,</w:t>
      </w:r>
      <w:r w:rsidR="00293A6E">
        <w:rPr>
          <w:rFonts w:cs="Times New Roman"/>
          <w:color w:val="000000" w:themeColor="text1"/>
        </w:rPr>
        <w:t xml:space="preserve"> due to </w:t>
      </w:r>
      <w:r>
        <w:rPr>
          <w:rFonts w:cs="Times New Roman"/>
          <w:color w:val="000000" w:themeColor="text1"/>
        </w:rPr>
        <w:t>i</w:t>
      </w:r>
      <w:r w:rsidR="00293A6E">
        <w:rPr>
          <w:rFonts w:cs="Times New Roman"/>
          <w:color w:val="000000" w:themeColor="text1"/>
        </w:rPr>
        <w:t>n</w:t>
      </w:r>
      <w:r>
        <w:rPr>
          <w:rFonts w:cs="Times New Roman"/>
          <w:color w:val="000000" w:themeColor="text1"/>
        </w:rPr>
        <w:t>c</w:t>
      </w:r>
      <w:r w:rsidR="00755268">
        <w:rPr>
          <w:rFonts w:cs="Times New Roman"/>
          <w:color w:val="000000" w:themeColor="text1"/>
        </w:rPr>
        <w:t>reased oil demand fr</w:t>
      </w:r>
      <w:r w:rsidR="0057052B">
        <w:rPr>
          <w:rFonts w:cs="Times New Roman"/>
          <w:color w:val="000000" w:themeColor="text1"/>
        </w:rPr>
        <w:t>om</w:t>
      </w:r>
      <w:r w:rsidR="00293A6E">
        <w:rPr>
          <w:rFonts w:cs="Times New Roman"/>
          <w:color w:val="000000" w:themeColor="text1"/>
        </w:rPr>
        <w:t xml:space="preserve"> heavy t</w:t>
      </w:r>
      <w:r w:rsidR="00755268">
        <w:rPr>
          <w:rFonts w:cs="Times New Roman"/>
          <w:color w:val="000000" w:themeColor="text1"/>
        </w:rPr>
        <w:t>ransport, ships, planes, and</w:t>
      </w:r>
      <w:r w:rsidR="00293A6E">
        <w:rPr>
          <w:rFonts w:cs="Times New Roman"/>
          <w:color w:val="000000" w:themeColor="text1"/>
        </w:rPr>
        <w:t xml:space="preserve"> petrochemicals.</w:t>
      </w:r>
    </w:p>
    <w:p w14:paraId="3CC7013F" w14:textId="77777777" w:rsidR="00293A6E" w:rsidRPr="00D26378" w:rsidRDefault="00293A6E" w:rsidP="00826E36">
      <w:pPr>
        <w:snapToGrid w:val="0"/>
        <w:jc w:val="both"/>
        <w:rPr>
          <w:rFonts w:cs="Times New Roman"/>
          <w:color w:val="000000" w:themeColor="text1"/>
          <w:sz w:val="14"/>
        </w:rPr>
      </w:pPr>
    </w:p>
    <w:p w14:paraId="3987B12B" w14:textId="75EDFC4D" w:rsidR="00293A6E" w:rsidRDefault="00293A6E" w:rsidP="00826E36">
      <w:pPr>
        <w:snapToGrid w:val="0"/>
        <w:jc w:val="both"/>
        <w:rPr>
          <w:rFonts w:cs="Times New Roman"/>
          <w:color w:val="000000" w:themeColor="text1"/>
        </w:rPr>
      </w:pPr>
      <w:r>
        <w:rPr>
          <w:rFonts w:cs="Times New Roman"/>
          <w:color w:val="000000" w:themeColor="text1"/>
        </w:rPr>
        <w:t xml:space="preserve">Who will be right is a fascinating topic for discussion. But it would seem wise for the logistics and SC industries to be </w:t>
      </w:r>
      <w:r w:rsidR="008531E1">
        <w:rPr>
          <w:rFonts w:cs="Times New Roman"/>
          <w:color w:val="000000" w:themeColor="text1"/>
        </w:rPr>
        <w:t xml:space="preserve">at least </w:t>
      </w:r>
      <w:r>
        <w:rPr>
          <w:rFonts w:cs="Times New Roman"/>
          <w:color w:val="000000" w:themeColor="text1"/>
        </w:rPr>
        <w:t xml:space="preserve">prepared for the significantly higher oil prices </w:t>
      </w:r>
      <w:r w:rsidR="00755268">
        <w:rPr>
          <w:rFonts w:cs="Times New Roman"/>
          <w:color w:val="000000" w:themeColor="text1"/>
        </w:rPr>
        <w:t xml:space="preserve">that are </w:t>
      </w:r>
      <w:r>
        <w:rPr>
          <w:rFonts w:cs="Times New Roman"/>
          <w:color w:val="000000" w:themeColor="text1"/>
        </w:rPr>
        <w:t>forecast b</w:t>
      </w:r>
      <w:r w:rsidR="00755268">
        <w:rPr>
          <w:rFonts w:cs="Times New Roman"/>
          <w:color w:val="000000" w:themeColor="text1"/>
        </w:rPr>
        <w:t>oth b</w:t>
      </w:r>
      <w:r>
        <w:rPr>
          <w:rFonts w:cs="Times New Roman"/>
          <w:color w:val="000000" w:themeColor="text1"/>
        </w:rPr>
        <w:t>y the ‘mainstream’ organisations</w:t>
      </w:r>
      <w:r w:rsidR="00755268">
        <w:rPr>
          <w:rFonts w:cs="Times New Roman"/>
          <w:color w:val="000000" w:themeColor="text1"/>
        </w:rPr>
        <w:t xml:space="preserve"> and a number of the ‘independents’</w:t>
      </w:r>
      <w:r>
        <w:rPr>
          <w:rFonts w:cs="Times New Roman"/>
          <w:color w:val="000000" w:themeColor="text1"/>
        </w:rPr>
        <w:t>.</w:t>
      </w:r>
    </w:p>
    <w:p w14:paraId="00339D91" w14:textId="77777777" w:rsidR="00494153" w:rsidRPr="00D26378" w:rsidRDefault="00494153" w:rsidP="00826E36">
      <w:pPr>
        <w:snapToGrid w:val="0"/>
        <w:jc w:val="both"/>
        <w:rPr>
          <w:rFonts w:cs="Times New Roman"/>
          <w:color w:val="000000" w:themeColor="text1"/>
          <w:sz w:val="14"/>
        </w:rPr>
      </w:pPr>
    </w:p>
    <w:p w14:paraId="5CEB7E46" w14:textId="7FD516BF" w:rsidR="00DC4D34" w:rsidRPr="00860995" w:rsidRDefault="00B70ED7" w:rsidP="00826E36">
      <w:pPr>
        <w:snapToGrid w:val="0"/>
        <w:jc w:val="both"/>
        <w:rPr>
          <w:rFonts w:cs="Times New Roman"/>
          <w:b/>
          <w:color w:val="000000" w:themeColor="text1"/>
        </w:rPr>
      </w:pPr>
      <w:r w:rsidRPr="00860995">
        <w:rPr>
          <w:rFonts w:cs="Times New Roman"/>
          <w:b/>
          <w:color w:val="000000" w:themeColor="text1"/>
        </w:rPr>
        <w:t>6.2</w:t>
      </w:r>
      <w:r w:rsidR="00D62B03" w:rsidRPr="00860995">
        <w:rPr>
          <w:rFonts w:cs="Times New Roman"/>
          <w:b/>
          <w:color w:val="000000" w:themeColor="text1"/>
        </w:rPr>
        <w:t xml:space="preserve"> </w:t>
      </w:r>
      <w:r w:rsidR="00DC4D34" w:rsidRPr="00860995">
        <w:rPr>
          <w:rFonts w:cs="Times New Roman"/>
          <w:b/>
          <w:color w:val="000000" w:themeColor="text1"/>
        </w:rPr>
        <w:t xml:space="preserve">Research limitations </w:t>
      </w:r>
    </w:p>
    <w:p w14:paraId="51582CA1" w14:textId="544E76C5" w:rsidR="00DC4D34" w:rsidRPr="00860995" w:rsidRDefault="00800DB2" w:rsidP="00826E36">
      <w:pPr>
        <w:jc w:val="both"/>
        <w:rPr>
          <w:rFonts w:cs="Times New Roman"/>
          <w:color w:val="000000" w:themeColor="text1"/>
        </w:rPr>
      </w:pPr>
      <w:r w:rsidRPr="00860995">
        <w:rPr>
          <w:rFonts w:cs="Times New Roman"/>
          <w:color w:val="000000" w:themeColor="text1"/>
        </w:rPr>
        <w:t xml:space="preserve">We recognise that the </w:t>
      </w:r>
      <w:r w:rsidR="003F4A0B" w:rsidRPr="00860995">
        <w:rPr>
          <w:rFonts w:cs="Times New Roman"/>
          <w:color w:val="000000" w:themeColor="text1"/>
        </w:rPr>
        <w:t xml:space="preserve">research reported here has </w:t>
      </w:r>
      <w:r w:rsidRPr="00860995">
        <w:rPr>
          <w:rFonts w:cs="Times New Roman"/>
          <w:color w:val="000000" w:themeColor="text1"/>
        </w:rPr>
        <w:t xml:space="preserve">limitations. </w:t>
      </w:r>
      <w:r w:rsidR="003F4A0B" w:rsidRPr="00860995">
        <w:rPr>
          <w:rFonts w:cs="Times New Roman"/>
          <w:color w:val="000000" w:themeColor="text1"/>
        </w:rPr>
        <w:t>It would benefit</w:t>
      </w:r>
      <w:r w:rsidR="00DC4D34" w:rsidRPr="00860995">
        <w:rPr>
          <w:rFonts w:cs="Times New Roman"/>
          <w:color w:val="000000" w:themeColor="text1"/>
        </w:rPr>
        <w:t xml:space="preserve"> from a larger number of </w:t>
      </w:r>
      <w:r w:rsidR="005E3522" w:rsidRPr="00860995">
        <w:rPr>
          <w:rFonts w:cs="Times New Roman"/>
          <w:color w:val="000000" w:themeColor="text1"/>
        </w:rPr>
        <w:t>respondents and</w:t>
      </w:r>
      <w:r w:rsidR="00DC4D34" w:rsidRPr="00860995">
        <w:rPr>
          <w:rFonts w:cs="Times New Roman"/>
          <w:color w:val="000000" w:themeColor="text1"/>
        </w:rPr>
        <w:t xml:space="preserve"> drawn from a wider spectrum of organisations.  The research also has the intrin</w:t>
      </w:r>
      <w:r w:rsidR="003F4A0B" w:rsidRPr="00860995">
        <w:rPr>
          <w:rFonts w:cs="Times New Roman"/>
          <w:color w:val="000000" w:themeColor="text1"/>
        </w:rPr>
        <w:t>sic problem that the surveys were</w:t>
      </w:r>
      <w:r w:rsidR="00DC4D34" w:rsidRPr="00860995">
        <w:rPr>
          <w:rFonts w:cs="Times New Roman"/>
          <w:color w:val="000000" w:themeColor="text1"/>
        </w:rPr>
        <w:t xml:space="preserve"> carried out at different dates, and hence price</w:t>
      </w:r>
      <w:r w:rsidR="00860995">
        <w:rPr>
          <w:rFonts w:cs="Times New Roman"/>
          <w:color w:val="000000" w:themeColor="text1"/>
        </w:rPr>
        <w:t>s</w:t>
      </w:r>
      <w:r w:rsidR="00DC4D34" w:rsidRPr="00860995">
        <w:rPr>
          <w:rFonts w:cs="Times New Roman"/>
          <w:color w:val="000000" w:themeColor="text1"/>
        </w:rPr>
        <w:t xml:space="preserve"> of oil. The resear</w:t>
      </w:r>
      <w:r w:rsidR="003F4A0B" w:rsidRPr="00860995">
        <w:rPr>
          <w:rFonts w:cs="Times New Roman"/>
          <w:color w:val="000000" w:themeColor="text1"/>
        </w:rPr>
        <w:t xml:space="preserve">ch started at what was </w:t>
      </w:r>
      <w:r w:rsidR="00DC4D34" w:rsidRPr="00860995">
        <w:rPr>
          <w:rFonts w:cs="Times New Roman"/>
          <w:color w:val="000000" w:themeColor="text1"/>
        </w:rPr>
        <w:t xml:space="preserve">a particularly low point in the recent </w:t>
      </w:r>
      <w:r w:rsidR="003F4A0B" w:rsidRPr="00860995">
        <w:rPr>
          <w:rFonts w:cs="Times New Roman"/>
          <w:color w:val="000000" w:themeColor="text1"/>
        </w:rPr>
        <w:t xml:space="preserve">trajectory </w:t>
      </w:r>
      <w:r w:rsidR="00DC4D34" w:rsidRPr="00860995">
        <w:rPr>
          <w:rFonts w:cs="Times New Roman"/>
          <w:color w:val="000000" w:themeColor="text1"/>
        </w:rPr>
        <w:t>of oil price</w:t>
      </w:r>
      <w:r w:rsidR="003F4A0B" w:rsidRPr="00860995">
        <w:rPr>
          <w:rFonts w:cs="Times New Roman"/>
          <w:color w:val="000000" w:themeColor="text1"/>
        </w:rPr>
        <w:t>s (at ~</w:t>
      </w:r>
      <w:r w:rsidR="00DC4D34" w:rsidRPr="00860995">
        <w:rPr>
          <w:rFonts w:cs="Times New Roman"/>
          <w:color w:val="000000" w:themeColor="text1"/>
        </w:rPr>
        <w:t xml:space="preserve">$35/bbl), and hence, importantly, at a time when expectations from a range of </w:t>
      </w:r>
      <w:r w:rsidR="00860995">
        <w:rPr>
          <w:rFonts w:cs="Times New Roman"/>
          <w:color w:val="000000" w:themeColor="text1"/>
        </w:rPr>
        <w:t xml:space="preserve">‘expert </w:t>
      </w:r>
      <w:r w:rsidR="00DC4D34" w:rsidRPr="00860995">
        <w:rPr>
          <w:rFonts w:cs="Times New Roman"/>
          <w:color w:val="000000" w:themeColor="text1"/>
        </w:rPr>
        <w:t>commentators</w:t>
      </w:r>
      <w:r w:rsidR="00860995">
        <w:rPr>
          <w:rFonts w:cs="Times New Roman"/>
          <w:color w:val="000000" w:themeColor="text1"/>
        </w:rPr>
        <w:t>’</w:t>
      </w:r>
      <w:r w:rsidR="00DC4D34" w:rsidRPr="00860995">
        <w:rPr>
          <w:rFonts w:cs="Times New Roman"/>
          <w:color w:val="000000" w:themeColor="text1"/>
        </w:rPr>
        <w:t xml:space="preserve"> were for the price to go lower still; with $20/bbl and e</w:t>
      </w:r>
      <w:r w:rsidR="003F4A0B" w:rsidRPr="00860995">
        <w:rPr>
          <w:rFonts w:cs="Times New Roman"/>
          <w:color w:val="000000" w:themeColor="text1"/>
        </w:rPr>
        <w:t>ven less being widely mentioned!</w:t>
      </w:r>
      <w:r w:rsidR="00DC4D34" w:rsidRPr="00860995">
        <w:rPr>
          <w:rFonts w:cs="Times New Roman"/>
          <w:color w:val="000000" w:themeColor="text1"/>
        </w:rPr>
        <w:t xml:space="preserve"> By contrast, currently </w:t>
      </w:r>
      <w:r w:rsidR="003F4A0B" w:rsidRPr="00860995">
        <w:rPr>
          <w:rFonts w:cs="Times New Roman"/>
          <w:color w:val="000000" w:themeColor="text1"/>
        </w:rPr>
        <w:t>(June 2018</w:t>
      </w:r>
      <w:r w:rsidR="00DC4D34" w:rsidRPr="00860995">
        <w:rPr>
          <w:rFonts w:cs="Times New Roman"/>
          <w:color w:val="000000" w:themeColor="text1"/>
        </w:rPr>
        <w:t>) the oil price has climbed back to ~$</w:t>
      </w:r>
      <w:r w:rsidR="003F4A0B" w:rsidRPr="00860995">
        <w:rPr>
          <w:rFonts w:cs="Times New Roman"/>
          <w:color w:val="000000" w:themeColor="text1"/>
        </w:rPr>
        <w:t>75</w:t>
      </w:r>
      <w:r w:rsidR="00DC4D34" w:rsidRPr="00860995">
        <w:rPr>
          <w:rFonts w:cs="Times New Roman"/>
          <w:color w:val="000000" w:themeColor="text1"/>
        </w:rPr>
        <w:t>/bbl, and there is far les</w:t>
      </w:r>
      <w:r w:rsidR="00860995">
        <w:rPr>
          <w:rFonts w:cs="Times New Roman"/>
          <w:color w:val="000000" w:themeColor="text1"/>
        </w:rPr>
        <w:t>s talk of lower prices</w:t>
      </w:r>
      <w:r w:rsidR="00DC4D34" w:rsidRPr="00860995">
        <w:rPr>
          <w:rFonts w:cs="Times New Roman"/>
          <w:color w:val="000000" w:themeColor="text1"/>
        </w:rPr>
        <w:t>. These ‘market expectations’ naturally affect the replies of respondents.</w:t>
      </w:r>
    </w:p>
    <w:p w14:paraId="426A30E6" w14:textId="77777777" w:rsidR="00B70ED7" w:rsidRPr="00D26378" w:rsidRDefault="00B70ED7" w:rsidP="00826E36">
      <w:pPr>
        <w:jc w:val="both"/>
        <w:rPr>
          <w:b/>
          <w:color w:val="000000" w:themeColor="text1"/>
          <w:sz w:val="14"/>
        </w:rPr>
      </w:pPr>
    </w:p>
    <w:p w14:paraId="168A11F2" w14:textId="15C98A29" w:rsidR="00B70ED7" w:rsidRPr="00335DD3" w:rsidRDefault="00860995" w:rsidP="00826E36">
      <w:pPr>
        <w:jc w:val="both"/>
        <w:rPr>
          <w:b/>
          <w:color w:val="000000" w:themeColor="text1"/>
        </w:rPr>
      </w:pPr>
      <w:r w:rsidRPr="00335DD3">
        <w:rPr>
          <w:b/>
          <w:color w:val="000000" w:themeColor="text1"/>
        </w:rPr>
        <w:t>6.3</w:t>
      </w:r>
      <w:r w:rsidR="00B70ED7" w:rsidRPr="00335DD3">
        <w:rPr>
          <w:b/>
          <w:color w:val="000000" w:themeColor="text1"/>
        </w:rPr>
        <w:t xml:space="preserve"> Conclusions</w:t>
      </w:r>
    </w:p>
    <w:p w14:paraId="2C5B86B6" w14:textId="5941B8EA" w:rsidR="00AA1E51" w:rsidRDefault="00B70ED7" w:rsidP="00826E36">
      <w:pPr>
        <w:jc w:val="both"/>
        <w:rPr>
          <w:rFonts w:cs="Times New Roman"/>
          <w:color w:val="000000" w:themeColor="text1"/>
        </w:rPr>
      </w:pPr>
      <w:r w:rsidRPr="00474912">
        <w:rPr>
          <w:rFonts w:cs="Times New Roman"/>
          <w:color w:val="000000" w:themeColor="text1"/>
        </w:rPr>
        <w:t xml:space="preserve">The main conclusions </w:t>
      </w:r>
      <w:r w:rsidR="007B4895">
        <w:rPr>
          <w:rFonts w:cs="Times New Roman"/>
          <w:color w:val="000000" w:themeColor="text1"/>
        </w:rPr>
        <w:t>from this whole research project have been</w:t>
      </w:r>
      <w:r w:rsidRPr="00474912">
        <w:rPr>
          <w:rFonts w:cs="Times New Roman"/>
          <w:color w:val="000000" w:themeColor="text1"/>
        </w:rPr>
        <w:t>:</w:t>
      </w:r>
    </w:p>
    <w:p w14:paraId="495FCAF0" w14:textId="77777777" w:rsidR="00C7798C" w:rsidRPr="00D26378" w:rsidRDefault="00C7798C" w:rsidP="00826E36">
      <w:pPr>
        <w:jc w:val="both"/>
        <w:rPr>
          <w:rFonts w:cs="Times New Roman"/>
          <w:color w:val="000000" w:themeColor="text1"/>
          <w:sz w:val="14"/>
        </w:rPr>
      </w:pPr>
    </w:p>
    <w:p w14:paraId="2FC215D5" w14:textId="4A8756AE" w:rsidR="00C7798C" w:rsidRPr="00D26378" w:rsidRDefault="00B70ED7" w:rsidP="00D26378">
      <w:pPr>
        <w:pStyle w:val="ListParagraph"/>
        <w:numPr>
          <w:ilvl w:val="0"/>
          <w:numId w:val="39"/>
        </w:numPr>
        <w:jc w:val="both"/>
        <w:rPr>
          <w:rFonts w:cs="Times New Roman"/>
          <w:color w:val="000000" w:themeColor="text1"/>
        </w:rPr>
      </w:pPr>
      <w:r w:rsidRPr="005E3522">
        <w:rPr>
          <w:rFonts w:cs="Times New Roman"/>
          <w:color w:val="000000" w:themeColor="text1"/>
        </w:rPr>
        <w:t>A wide range o</w:t>
      </w:r>
      <w:r w:rsidR="00AA1E51" w:rsidRPr="005E3522">
        <w:rPr>
          <w:rFonts w:cs="Times New Roman"/>
          <w:color w:val="000000" w:themeColor="text1"/>
        </w:rPr>
        <w:t xml:space="preserve">f expectations </w:t>
      </w:r>
      <w:r w:rsidR="00474912" w:rsidRPr="005E3522">
        <w:rPr>
          <w:rFonts w:cs="Times New Roman"/>
          <w:color w:val="000000" w:themeColor="text1"/>
        </w:rPr>
        <w:t xml:space="preserve">of the future price of oil </w:t>
      </w:r>
      <w:r w:rsidR="00AA1E51" w:rsidRPr="005E3522">
        <w:rPr>
          <w:rFonts w:cs="Times New Roman"/>
          <w:color w:val="000000" w:themeColor="text1"/>
        </w:rPr>
        <w:t>emerged from the earlier part of this study</w:t>
      </w:r>
      <w:r w:rsidRPr="005E3522">
        <w:rPr>
          <w:rFonts w:cs="Times New Roman"/>
          <w:color w:val="000000" w:themeColor="text1"/>
        </w:rPr>
        <w:t>, from both senior pract</w:t>
      </w:r>
      <w:r w:rsidR="00AA1E51" w:rsidRPr="005E3522">
        <w:rPr>
          <w:rFonts w:cs="Times New Roman"/>
          <w:color w:val="000000" w:themeColor="text1"/>
        </w:rPr>
        <w:t>itioners and educators; with</w:t>
      </w:r>
      <w:r w:rsidR="00474912" w:rsidRPr="005E3522">
        <w:rPr>
          <w:rFonts w:cs="Times New Roman"/>
          <w:color w:val="000000" w:themeColor="text1"/>
        </w:rPr>
        <w:t xml:space="preserve"> estimates for the </w:t>
      </w:r>
      <w:r w:rsidRPr="005E3522">
        <w:rPr>
          <w:rFonts w:cs="Times New Roman"/>
          <w:color w:val="000000" w:themeColor="text1"/>
        </w:rPr>
        <w:t xml:space="preserve">price 10 years hence ranging from below $30/bbl to over $120/bbl. </w:t>
      </w:r>
    </w:p>
    <w:p w14:paraId="40613404" w14:textId="1D2C46B3" w:rsidR="00C7798C" w:rsidRPr="00D26378" w:rsidRDefault="00B70ED7" w:rsidP="00C7798C">
      <w:pPr>
        <w:pStyle w:val="ListParagraph"/>
        <w:numPr>
          <w:ilvl w:val="0"/>
          <w:numId w:val="39"/>
        </w:numPr>
        <w:jc w:val="both"/>
        <w:rPr>
          <w:rFonts w:cs="Times New Roman"/>
          <w:color w:val="000000" w:themeColor="text1"/>
        </w:rPr>
      </w:pPr>
      <w:r w:rsidRPr="005E3522">
        <w:rPr>
          <w:rFonts w:cs="Times New Roman"/>
          <w:color w:val="000000" w:themeColor="text1"/>
        </w:rPr>
        <w:t>E</w:t>
      </w:r>
      <w:r w:rsidR="00335DD3" w:rsidRPr="005E3522">
        <w:rPr>
          <w:rFonts w:cs="Times New Roman"/>
          <w:color w:val="000000" w:themeColor="text1"/>
        </w:rPr>
        <w:t xml:space="preserve">xplanations for this wide </w:t>
      </w:r>
      <w:r w:rsidRPr="005E3522">
        <w:rPr>
          <w:rFonts w:cs="Times New Roman"/>
          <w:color w:val="000000" w:themeColor="text1"/>
        </w:rPr>
        <w:t xml:space="preserve">range were generally logical. Those that foresaw a low </w:t>
      </w:r>
      <w:r w:rsidR="00335DD3" w:rsidRPr="005E3522">
        <w:rPr>
          <w:rFonts w:cs="Times New Roman"/>
          <w:color w:val="000000" w:themeColor="text1"/>
        </w:rPr>
        <w:t xml:space="preserve">oil </w:t>
      </w:r>
      <w:r w:rsidRPr="005E3522">
        <w:rPr>
          <w:rFonts w:cs="Times New Roman"/>
          <w:color w:val="000000" w:themeColor="text1"/>
        </w:rPr>
        <w:t xml:space="preserve">price expected that new energy sources would come on-stream significantly over this timeframe, while those that foresaw much higher prices held the view that these new sources were not likely to be especially significant, coupled with a view that oil supply itself was likely to be constrained. </w:t>
      </w:r>
    </w:p>
    <w:p w14:paraId="76F76A8D" w14:textId="03B2AAF0" w:rsidR="00C7798C" w:rsidRPr="00D26378" w:rsidRDefault="00B70ED7" w:rsidP="00C7798C">
      <w:pPr>
        <w:pStyle w:val="ListParagraph"/>
        <w:numPr>
          <w:ilvl w:val="0"/>
          <w:numId w:val="39"/>
        </w:numPr>
        <w:jc w:val="both"/>
        <w:rPr>
          <w:rFonts w:cs="Times New Roman"/>
          <w:color w:val="000000" w:themeColor="text1"/>
        </w:rPr>
      </w:pPr>
      <w:r w:rsidRPr="005E3522">
        <w:rPr>
          <w:rFonts w:cs="Times New Roman"/>
          <w:color w:val="000000" w:themeColor="text1"/>
        </w:rPr>
        <w:t>An important finding was the proportions of respondents that supported these various views of future oil price. While n</w:t>
      </w:r>
      <w:r w:rsidRPr="005E3522">
        <w:rPr>
          <w:rFonts w:eastAsiaTheme="minorEastAsia" w:cs="Times New Roman"/>
          <w:color w:val="000000" w:themeColor="text1"/>
          <w:lang w:eastAsia="zh-CN"/>
        </w:rPr>
        <w:t xml:space="preserve">early a quarter saw the oil price in a decade’s time as likely to be very low (&lt;$30/bbl), the majority saw this price as being in the $60-$90/bbl range, i.e., </w:t>
      </w:r>
      <w:r w:rsidRPr="005E3522">
        <w:rPr>
          <w:rFonts w:eastAsiaTheme="minorEastAsia" w:cs="Times New Roman"/>
          <w:i/>
          <w:color w:val="000000" w:themeColor="text1"/>
          <w:lang w:eastAsia="zh-CN"/>
        </w:rPr>
        <w:t>lower than the price</w:t>
      </w:r>
      <w:r w:rsidRPr="005E3522">
        <w:rPr>
          <w:rFonts w:eastAsiaTheme="minorEastAsia" w:cs="Times New Roman"/>
          <w:color w:val="000000" w:themeColor="text1"/>
          <w:lang w:eastAsia="zh-CN"/>
        </w:rPr>
        <w:t xml:space="preserve"> for </w:t>
      </w:r>
      <w:r w:rsidR="00335DD3" w:rsidRPr="005E3522">
        <w:rPr>
          <w:rFonts w:eastAsiaTheme="minorEastAsia" w:cs="Times New Roman"/>
          <w:color w:val="000000" w:themeColor="text1"/>
          <w:lang w:eastAsia="zh-CN"/>
        </w:rPr>
        <w:t>most of the period 2007 to 2014!</w:t>
      </w:r>
      <w:r w:rsidRPr="005E3522">
        <w:rPr>
          <w:rFonts w:eastAsiaTheme="minorEastAsia" w:cs="Times New Roman"/>
          <w:color w:val="000000" w:themeColor="text1"/>
          <w:lang w:eastAsia="zh-CN"/>
        </w:rPr>
        <w:t xml:space="preserve"> Only a quarter of respondents thought the oil price 10 years hence likely to be &gt;$120/bbl. </w:t>
      </w:r>
    </w:p>
    <w:p w14:paraId="13E104F7" w14:textId="0643C5C8" w:rsidR="00C7798C" w:rsidRPr="00D26378" w:rsidRDefault="00B70ED7" w:rsidP="00C7798C">
      <w:pPr>
        <w:pStyle w:val="ListParagraph"/>
        <w:numPr>
          <w:ilvl w:val="0"/>
          <w:numId w:val="39"/>
        </w:numPr>
        <w:jc w:val="both"/>
        <w:rPr>
          <w:rFonts w:cs="Times New Roman"/>
          <w:color w:val="000000" w:themeColor="text1"/>
        </w:rPr>
      </w:pPr>
      <w:r w:rsidRPr="005E3522">
        <w:rPr>
          <w:rFonts w:eastAsiaTheme="minorEastAsia" w:cs="Times New Roman"/>
          <w:color w:val="000000" w:themeColor="text1"/>
          <w:lang w:eastAsia="zh-CN"/>
        </w:rPr>
        <w:t>It was n</w:t>
      </w:r>
      <w:r w:rsidR="00335DD3" w:rsidRPr="005E3522">
        <w:rPr>
          <w:rFonts w:cs="Times New Roman"/>
          <w:color w:val="000000" w:themeColor="text1"/>
        </w:rPr>
        <w:t xml:space="preserve">oticeable </w:t>
      </w:r>
      <w:r w:rsidRPr="005E3522">
        <w:rPr>
          <w:rFonts w:cs="Times New Roman"/>
          <w:color w:val="000000" w:themeColor="text1"/>
        </w:rPr>
        <w:t>that no</w:t>
      </w:r>
      <w:r w:rsidR="0057052B">
        <w:rPr>
          <w:rFonts w:cs="Times New Roman"/>
          <w:color w:val="000000" w:themeColor="text1"/>
        </w:rPr>
        <w:t xml:space="preserve"> respondent</w:t>
      </w:r>
      <w:r w:rsidRPr="005E3522">
        <w:rPr>
          <w:rFonts w:cs="Times New Roman"/>
          <w:color w:val="000000" w:themeColor="text1"/>
        </w:rPr>
        <w:t xml:space="preserve"> </w:t>
      </w:r>
      <w:r w:rsidR="0057052B">
        <w:rPr>
          <w:rFonts w:cs="Times New Roman"/>
          <w:color w:val="000000" w:themeColor="text1"/>
        </w:rPr>
        <w:t>suggested that the</w:t>
      </w:r>
      <w:r w:rsidRPr="005E3522">
        <w:rPr>
          <w:rFonts w:cs="Times New Roman"/>
          <w:color w:val="000000" w:themeColor="text1"/>
        </w:rPr>
        <w:t xml:space="preserve"> oil price </w:t>
      </w:r>
      <w:r w:rsidR="0057052B">
        <w:rPr>
          <w:rFonts w:cs="Times New Roman"/>
          <w:color w:val="000000" w:themeColor="text1"/>
        </w:rPr>
        <w:t>could</w:t>
      </w:r>
      <w:r w:rsidRPr="005E3522">
        <w:rPr>
          <w:rFonts w:cs="Times New Roman"/>
          <w:color w:val="000000" w:themeColor="text1"/>
        </w:rPr>
        <w:t xml:space="preserve"> go high enough to </w:t>
      </w:r>
      <w:r w:rsidRPr="005E3522">
        <w:rPr>
          <w:rFonts w:cs="Times New Roman"/>
          <w:i/>
          <w:color w:val="000000" w:themeColor="text1"/>
        </w:rPr>
        <w:t>reduce</w:t>
      </w:r>
      <w:r w:rsidRPr="005E3522">
        <w:rPr>
          <w:rFonts w:cs="Times New Roman"/>
          <w:color w:val="000000" w:themeColor="text1"/>
        </w:rPr>
        <w:t xml:space="preserve"> logistics and SC activity overall.</w:t>
      </w:r>
    </w:p>
    <w:p w14:paraId="11081C0E" w14:textId="187BC58C" w:rsidR="00B70ED7" w:rsidRPr="005E3522" w:rsidRDefault="007B4895" w:rsidP="00237046">
      <w:pPr>
        <w:pStyle w:val="ListParagraph"/>
        <w:numPr>
          <w:ilvl w:val="0"/>
          <w:numId w:val="39"/>
        </w:numPr>
        <w:jc w:val="both"/>
        <w:rPr>
          <w:rFonts w:cs="Times New Roman"/>
          <w:color w:val="000000" w:themeColor="text1"/>
        </w:rPr>
      </w:pPr>
      <w:r w:rsidRPr="005E3522">
        <w:rPr>
          <w:rFonts w:cs="Times New Roman"/>
          <w:color w:val="000000" w:themeColor="text1"/>
        </w:rPr>
        <w:t>When comparing oil price views of respondents to the prices that have since occurred, the respondents consistently under-estimated the price rises that have taken place.</w:t>
      </w:r>
      <w:r w:rsidR="00B70ED7" w:rsidRPr="005E3522">
        <w:rPr>
          <w:rFonts w:cs="Times New Roman"/>
          <w:color w:val="000000" w:themeColor="text1"/>
        </w:rPr>
        <w:t xml:space="preserve"> </w:t>
      </w:r>
    </w:p>
    <w:p w14:paraId="7F28FA5B" w14:textId="77777777" w:rsidR="00B70ED7" w:rsidRPr="00D26378" w:rsidRDefault="00B70ED7" w:rsidP="00826E36">
      <w:pPr>
        <w:jc w:val="both"/>
        <w:rPr>
          <w:rFonts w:cs="Times New Roman"/>
          <w:color w:val="000000" w:themeColor="text1"/>
          <w:sz w:val="14"/>
        </w:rPr>
      </w:pPr>
    </w:p>
    <w:p w14:paraId="62197AE1" w14:textId="4C00448B" w:rsidR="00B70ED7" w:rsidRPr="004E3B5D" w:rsidRDefault="00B70ED7" w:rsidP="00826E36">
      <w:pPr>
        <w:jc w:val="both"/>
        <w:rPr>
          <w:rFonts w:cs="Times New Roman"/>
          <w:color w:val="000000" w:themeColor="text1"/>
        </w:rPr>
      </w:pPr>
      <w:r w:rsidRPr="00474912">
        <w:rPr>
          <w:rFonts w:cs="Times New Roman"/>
          <w:color w:val="000000" w:themeColor="text1"/>
        </w:rPr>
        <w:t>To set the findings into context, we note that virtually all current ‘mainstream’ oil forecasts, from organisations such as the IEA, the US EIA, oil majors and consultancies, see the global supply of</w:t>
      </w:r>
      <w:r w:rsidRPr="00474912">
        <w:rPr>
          <w:rFonts w:cs="Times New Roman"/>
          <w:i/>
          <w:color w:val="000000" w:themeColor="text1"/>
        </w:rPr>
        <w:t xml:space="preserve"> conventional oil</w:t>
      </w:r>
      <w:r w:rsidRPr="00474912">
        <w:rPr>
          <w:rFonts w:cs="Times New Roman"/>
          <w:color w:val="000000" w:themeColor="text1"/>
        </w:rPr>
        <w:t xml:space="preserve"> as being increasingly constrained from now on, with the result that most of any additional ‘liquids’ global supply that is required in future must come from the intrinsically expensive non-conventional oils; or from ‘other liquids’, such as coa</w:t>
      </w:r>
      <w:r w:rsidR="00317AA4">
        <w:rPr>
          <w:rFonts w:cs="Times New Roman"/>
          <w:color w:val="000000" w:themeColor="text1"/>
        </w:rPr>
        <w:t>l-to-liquids or biofuels. This -</w:t>
      </w:r>
      <w:r w:rsidR="00AA1E51" w:rsidRPr="00474912">
        <w:rPr>
          <w:rFonts w:cs="Times New Roman"/>
          <w:color w:val="000000" w:themeColor="text1"/>
        </w:rPr>
        <w:t xml:space="preserve"> absent ‘peak demand before peak supply’ - s</w:t>
      </w:r>
      <w:r w:rsidRPr="00474912">
        <w:rPr>
          <w:rFonts w:cs="Times New Roman"/>
          <w:color w:val="000000" w:themeColor="text1"/>
        </w:rPr>
        <w:t>uggests hi</w:t>
      </w:r>
      <w:r w:rsidR="00317AA4">
        <w:rPr>
          <w:rFonts w:cs="Times New Roman"/>
          <w:color w:val="000000" w:themeColor="text1"/>
        </w:rPr>
        <w:t xml:space="preserve">gher oil prices into the future, combined </w:t>
      </w:r>
      <w:r w:rsidR="00317AA4" w:rsidRPr="004E3B5D">
        <w:rPr>
          <w:rFonts w:cs="Times New Roman"/>
          <w:color w:val="000000" w:themeColor="text1"/>
        </w:rPr>
        <w:t xml:space="preserve">with </w:t>
      </w:r>
      <w:r w:rsidR="00B15FCA" w:rsidRPr="004E3B5D">
        <w:rPr>
          <w:rFonts w:cs="Times New Roman"/>
          <w:color w:val="000000" w:themeColor="text1"/>
        </w:rPr>
        <w:t>the possibility</w:t>
      </w:r>
      <w:r w:rsidRPr="004E3B5D">
        <w:rPr>
          <w:rFonts w:cs="Times New Roman"/>
          <w:color w:val="000000" w:themeColor="text1"/>
        </w:rPr>
        <w:t xml:space="preserve"> of significant constraints on supply.</w:t>
      </w:r>
    </w:p>
    <w:p w14:paraId="4207DB05" w14:textId="767BCB13" w:rsidR="00B70ED7" w:rsidRPr="00474912" w:rsidRDefault="00B70ED7" w:rsidP="00826E36">
      <w:pPr>
        <w:jc w:val="both"/>
        <w:rPr>
          <w:rFonts w:cs="Times New Roman"/>
          <w:color w:val="000000" w:themeColor="text1"/>
        </w:rPr>
      </w:pPr>
      <w:r w:rsidRPr="00474912">
        <w:rPr>
          <w:rFonts w:cs="Times New Roman"/>
          <w:color w:val="000000" w:themeColor="text1"/>
        </w:rPr>
        <w:lastRenderedPageBreak/>
        <w:t xml:space="preserve">By contrast, the results </w:t>
      </w:r>
      <w:r w:rsidR="00AA1E51" w:rsidRPr="00474912">
        <w:rPr>
          <w:rFonts w:cs="Times New Roman"/>
          <w:color w:val="000000" w:themeColor="text1"/>
        </w:rPr>
        <w:t xml:space="preserve">of the surveys </w:t>
      </w:r>
      <w:r w:rsidR="00317AA4">
        <w:rPr>
          <w:rFonts w:cs="Times New Roman"/>
          <w:color w:val="000000" w:themeColor="text1"/>
        </w:rPr>
        <w:t>reported here</w:t>
      </w:r>
      <w:r w:rsidRPr="00474912">
        <w:rPr>
          <w:rFonts w:cs="Times New Roman"/>
          <w:color w:val="000000" w:themeColor="text1"/>
        </w:rPr>
        <w:t xml:space="preserve"> suggest that the likelihood of such constraints are not yet in the thin</w:t>
      </w:r>
      <w:r w:rsidR="00AA1E51" w:rsidRPr="00474912">
        <w:rPr>
          <w:rFonts w:cs="Times New Roman"/>
          <w:color w:val="000000" w:themeColor="text1"/>
        </w:rPr>
        <w:t>king of most of those managing, and</w:t>
      </w:r>
      <w:r w:rsidRPr="00474912">
        <w:rPr>
          <w:rFonts w:cs="Times New Roman"/>
          <w:color w:val="000000" w:themeColor="text1"/>
        </w:rPr>
        <w:t xml:space="preserve"> teaching, logistics and SCs. It is hoped </w:t>
      </w:r>
      <w:r w:rsidR="00317AA4">
        <w:rPr>
          <w:rFonts w:cs="Times New Roman"/>
          <w:color w:val="000000" w:themeColor="text1"/>
        </w:rPr>
        <w:t xml:space="preserve">therefore </w:t>
      </w:r>
      <w:r w:rsidRPr="00474912">
        <w:rPr>
          <w:rFonts w:cs="Times New Roman"/>
          <w:color w:val="000000" w:themeColor="text1"/>
        </w:rPr>
        <w:t>that this paper can help inform industry and academia of the possible oil pric</w:t>
      </w:r>
      <w:r w:rsidR="00317AA4">
        <w:rPr>
          <w:rFonts w:cs="Times New Roman"/>
          <w:color w:val="000000" w:themeColor="text1"/>
        </w:rPr>
        <w:t>e risks ahead; and in particula</w:t>
      </w:r>
      <w:r w:rsidR="00B8392D">
        <w:rPr>
          <w:rFonts w:cs="Times New Roman"/>
          <w:color w:val="000000" w:themeColor="text1"/>
        </w:rPr>
        <w:t>r</w:t>
      </w:r>
      <w:r w:rsidRPr="00474912">
        <w:rPr>
          <w:rFonts w:cs="Times New Roman"/>
          <w:color w:val="000000" w:themeColor="text1"/>
        </w:rPr>
        <w:t>, contribute to the planning that will be</w:t>
      </w:r>
      <w:r w:rsidR="00494153" w:rsidRPr="00474912">
        <w:rPr>
          <w:rFonts w:cs="Times New Roman"/>
          <w:color w:val="000000" w:themeColor="text1"/>
        </w:rPr>
        <w:t xml:space="preserve"> </w:t>
      </w:r>
      <w:r w:rsidR="00AA1E51" w:rsidRPr="00474912">
        <w:rPr>
          <w:rFonts w:cs="Times New Roman"/>
          <w:color w:val="000000" w:themeColor="text1"/>
        </w:rPr>
        <w:t xml:space="preserve">required for </w:t>
      </w:r>
      <w:r w:rsidR="00494153" w:rsidRPr="00474912">
        <w:rPr>
          <w:rFonts w:cs="Times New Roman"/>
          <w:color w:val="000000" w:themeColor="text1"/>
        </w:rPr>
        <w:t xml:space="preserve">the medium and longer </w:t>
      </w:r>
      <w:r w:rsidRPr="00474912">
        <w:rPr>
          <w:rFonts w:cs="Times New Roman"/>
          <w:color w:val="000000" w:themeColor="text1"/>
        </w:rPr>
        <w:t>term oil supply challenges that companies may</w:t>
      </w:r>
      <w:r w:rsidR="00AA1E51" w:rsidRPr="00474912">
        <w:rPr>
          <w:rFonts w:cs="Times New Roman"/>
          <w:color w:val="000000" w:themeColor="text1"/>
        </w:rPr>
        <w:t xml:space="preserve"> well</w:t>
      </w:r>
      <w:r w:rsidRPr="00474912">
        <w:rPr>
          <w:rFonts w:cs="Times New Roman"/>
          <w:color w:val="000000" w:themeColor="text1"/>
        </w:rPr>
        <w:t xml:space="preserve"> face.</w:t>
      </w:r>
    </w:p>
    <w:p w14:paraId="2C690B1D" w14:textId="77777777" w:rsidR="007536EB" w:rsidRPr="00D26378" w:rsidRDefault="007536EB" w:rsidP="00826E36">
      <w:pPr>
        <w:tabs>
          <w:tab w:val="left" w:pos="1527"/>
        </w:tabs>
        <w:jc w:val="both"/>
        <w:rPr>
          <w:rFonts w:cs="Times New Roman"/>
          <w:color w:val="000000" w:themeColor="text1"/>
          <w:sz w:val="14"/>
        </w:rPr>
      </w:pPr>
    </w:p>
    <w:p w14:paraId="4C083892" w14:textId="5F56385D" w:rsidR="004A73C3" w:rsidRPr="00C7798C" w:rsidRDefault="004A73C3" w:rsidP="004A73C3">
      <w:pPr>
        <w:jc w:val="both"/>
        <w:rPr>
          <w:rFonts w:cs="Times New Roman"/>
          <w:b/>
          <w:color w:val="000000" w:themeColor="text1"/>
          <w:u w:val="single"/>
        </w:rPr>
      </w:pPr>
      <w:r w:rsidRPr="00C7798C">
        <w:rPr>
          <w:rFonts w:cs="Times New Roman"/>
          <w:b/>
          <w:color w:val="000000" w:themeColor="text1"/>
          <w:u w:val="single"/>
        </w:rPr>
        <w:t>References</w:t>
      </w:r>
    </w:p>
    <w:p w14:paraId="726F1E6A" w14:textId="77777777" w:rsidR="004A73C3" w:rsidRPr="00C7798C" w:rsidRDefault="004A73C3" w:rsidP="00C7798C">
      <w:pPr>
        <w:pStyle w:val="ListParagraph"/>
        <w:numPr>
          <w:ilvl w:val="0"/>
          <w:numId w:val="43"/>
        </w:numPr>
        <w:ind w:left="567" w:hanging="283"/>
        <w:jc w:val="both"/>
        <w:rPr>
          <w:rFonts w:cs="Times New Roman"/>
          <w:color w:val="000000" w:themeColor="text1"/>
        </w:rPr>
      </w:pPr>
      <w:proofErr w:type="spellStart"/>
      <w:r w:rsidRPr="00C7798C">
        <w:rPr>
          <w:rFonts w:cs="Times New Roman"/>
          <w:color w:val="000000" w:themeColor="text1"/>
        </w:rPr>
        <w:t>Bagozzi</w:t>
      </w:r>
      <w:proofErr w:type="spellEnd"/>
      <w:r w:rsidRPr="00C7798C">
        <w:rPr>
          <w:rFonts w:cs="Times New Roman"/>
          <w:color w:val="000000" w:themeColor="text1"/>
        </w:rPr>
        <w:t xml:space="preserve">, R.P., </w:t>
      </w:r>
      <w:proofErr w:type="spellStart"/>
      <w:r w:rsidRPr="00C7798C">
        <w:rPr>
          <w:rFonts w:cs="Times New Roman"/>
          <w:color w:val="000000" w:themeColor="text1"/>
        </w:rPr>
        <w:t>Youjae</w:t>
      </w:r>
      <w:proofErr w:type="spellEnd"/>
      <w:r w:rsidRPr="00C7798C">
        <w:rPr>
          <w:rFonts w:cs="Times New Roman"/>
          <w:color w:val="000000" w:themeColor="text1"/>
        </w:rPr>
        <w:t xml:space="preserve">, Y. &amp; Phillips, L.W. (1991), ‘Assessing Construct Validity in Organizational Research’, </w:t>
      </w:r>
      <w:r w:rsidRPr="00C7798C">
        <w:rPr>
          <w:rFonts w:cs="Times New Roman"/>
          <w:i/>
          <w:color w:val="000000" w:themeColor="text1"/>
        </w:rPr>
        <w:t>Administrative Science Quarterly</w:t>
      </w:r>
      <w:r w:rsidRPr="00C7798C">
        <w:rPr>
          <w:rFonts w:cs="Times New Roman"/>
          <w:color w:val="000000" w:themeColor="text1"/>
        </w:rPr>
        <w:t>, vol. 36, pp. 421-458.</w:t>
      </w:r>
    </w:p>
    <w:p w14:paraId="2BEEBF7F" w14:textId="77777777" w:rsidR="004A73C3" w:rsidRPr="00C7798C" w:rsidRDefault="004A73C3" w:rsidP="00C7798C">
      <w:pPr>
        <w:pStyle w:val="ListParagraph"/>
        <w:numPr>
          <w:ilvl w:val="0"/>
          <w:numId w:val="43"/>
        </w:numPr>
        <w:ind w:left="567" w:hanging="283"/>
        <w:jc w:val="both"/>
        <w:rPr>
          <w:rFonts w:cs="Times New Roman"/>
          <w:color w:val="000000" w:themeColor="text1"/>
        </w:rPr>
      </w:pPr>
      <w:r w:rsidRPr="00C7798C">
        <w:rPr>
          <w:rFonts w:cs="Times New Roman"/>
          <w:color w:val="000000" w:themeColor="text1"/>
        </w:rPr>
        <w:t xml:space="preserve">Bentley, R.W. (2016). </w:t>
      </w:r>
      <w:r w:rsidRPr="00C7798C">
        <w:rPr>
          <w:rFonts w:cs="Times New Roman"/>
          <w:i/>
          <w:color w:val="000000" w:themeColor="text1"/>
        </w:rPr>
        <w:t>Introduction to Peak Oil</w:t>
      </w:r>
      <w:r w:rsidRPr="00C7798C">
        <w:rPr>
          <w:rFonts w:cs="Times New Roman"/>
          <w:color w:val="000000" w:themeColor="text1"/>
        </w:rPr>
        <w:t>. Lecture Notes in Energy, Vol. 34; Springer.</w:t>
      </w:r>
    </w:p>
    <w:p w14:paraId="5077E425" w14:textId="1031FBAF" w:rsidR="0073620E" w:rsidRPr="00C7798C" w:rsidRDefault="0073620E" w:rsidP="00C7798C">
      <w:pPr>
        <w:pStyle w:val="ListParagraph"/>
        <w:numPr>
          <w:ilvl w:val="0"/>
          <w:numId w:val="43"/>
        </w:numPr>
        <w:suppressAutoHyphens/>
        <w:ind w:left="567" w:hanging="283"/>
        <w:jc w:val="both"/>
        <w:rPr>
          <w:rFonts w:cs="Arial"/>
          <w:color w:val="000000" w:themeColor="text1"/>
        </w:rPr>
      </w:pPr>
      <w:r w:rsidRPr="00C7798C">
        <w:rPr>
          <w:rFonts w:cs="Arial"/>
          <w:color w:val="000000" w:themeColor="text1"/>
        </w:rPr>
        <w:t xml:space="preserve">Bentley, Y., Cao, G., Ramanathan, R. &amp; Bentley R.W. (2017), ‘Impact of Recent and Anticipated Changes in Oil Price on Global Logistics and Supply Chain Activity – Further Findings on Practitioner and Educator Opinions.’ </w:t>
      </w:r>
      <w:r w:rsidRPr="00C7798C">
        <w:rPr>
          <w:rFonts w:cs="Arial"/>
          <w:i/>
          <w:color w:val="000000" w:themeColor="text1"/>
        </w:rPr>
        <w:t xml:space="preserve">Proceedings of Logistics Research Network Conference, </w:t>
      </w:r>
      <w:r w:rsidRPr="00C7798C">
        <w:rPr>
          <w:rFonts w:cs="Arial"/>
          <w:color w:val="000000" w:themeColor="text1"/>
        </w:rPr>
        <w:t>6-8 September 2017, Southampton Solent University, UK.</w:t>
      </w:r>
    </w:p>
    <w:p w14:paraId="1EFCCE38" w14:textId="7C626A50" w:rsidR="004A73C3" w:rsidRPr="00C7798C" w:rsidRDefault="004A73C3" w:rsidP="00C7798C">
      <w:pPr>
        <w:pStyle w:val="ListParagraph"/>
        <w:numPr>
          <w:ilvl w:val="0"/>
          <w:numId w:val="43"/>
        </w:numPr>
        <w:suppressAutoHyphens/>
        <w:ind w:left="567" w:hanging="283"/>
        <w:jc w:val="both"/>
        <w:rPr>
          <w:rFonts w:cs="Arial"/>
        </w:rPr>
      </w:pPr>
      <w:r w:rsidRPr="00C7798C">
        <w:rPr>
          <w:rFonts w:cs="Arial"/>
        </w:rPr>
        <w:t xml:space="preserve">Bentley, Y., Bentley, R. and Cao, G. (2016), </w:t>
      </w:r>
      <w:r w:rsidR="00DB7027" w:rsidRPr="00C7798C">
        <w:rPr>
          <w:rFonts w:cs="Arial"/>
        </w:rPr>
        <w:t>‘</w:t>
      </w:r>
      <w:r w:rsidRPr="00C7798C">
        <w:rPr>
          <w:rFonts w:cs="Arial"/>
        </w:rPr>
        <w:t>The Impact of Oil Price on Global Logistics and Supply Chain Activities – A Survey of Practitioner and Educator Opinions</w:t>
      </w:r>
      <w:r w:rsidR="00DB7027" w:rsidRPr="00C7798C">
        <w:rPr>
          <w:rFonts w:cs="Arial"/>
        </w:rPr>
        <w:t>’</w:t>
      </w:r>
      <w:r w:rsidRPr="00C7798C">
        <w:rPr>
          <w:rFonts w:cs="Arial"/>
        </w:rPr>
        <w:t xml:space="preserve">. </w:t>
      </w:r>
      <w:r w:rsidR="0073620E" w:rsidRPr="00C7798C">
        <w:rPr>
          <w:rFonts w:cs="Arial"/>
          <w:i/>
        </w:rPr>
        <w:t>Proceedings of</w:t>
      </w:r>
      <w:r w:rsidR="0073620E" w:rsidRPr="00C7798C">
        <w:rPr>
          <w:rFonts w:cs="Arial"/>
        </w:rPr>
        <w:t xml:space="preserve"> </w:t>
      </w:r>
      <w:r w:rsidRPr="00C7798C">
        <w:rPr>
          <w:rFonts w:cs="Arial"/>
          <w:i/>
        </w:rPr>
        <w:t>Logistics Research Network Conference</w:t>
      </w:r>
      <w:r w:rsidRPr="00C7798C">
        <w:rPr>
          <w:rFonts w:cs="Arial"/>
        </w:rPr>
        <w:t>, 7-9 September 2016. University of Hull UK.</w:t>
      </w:r>
    </w:p>
    <w:p w14:paraId="69704C12" w14:textId="77777777" w:rsidR="004A73C3" w:rsidRPr="00C7798C" w:rsidRDefault="004A73C3" w:rsidP="00C7798C">
      <w:pPr>
        <w:pStyle w:val="ListParagraph"/>
        <w:numPr>
          <w:ilvl w:val="0"/>
          <w:numId w:val="43"/>
        </w:numPr>
        <w:ind w:left="567" w:hanging="283"/>
        <w:jc w:val="both"/>
        <w:rPr>
          <w:rFonts w:cs="Times New Roman"/>
          <w:color w:val="000000" w:themeColor="text1"/>
        </w:rPr>
      </w:pPr>
      <w:r w:rsidRPr="00C7798C">
        <w:rPr>
          <w:rFonts w:cs="Times New Roman"/>
          <w:color w:val="000000" w:themeColor="text1"/>
        </w:rPr>
        <w:t xml:space="preserve">Bentley, R.W. &amp; Bentley Y. (2015a), ‘Explaining the Price of Oil 1861 to 1970 - The Need to Use Reliable Data on Oil discovery and to Account for ‘Mid-point’ Peak’. </w:t>
      </w:r>
      <w:r w:rsidRPr="00C7798C">
        <w:rPr>
          <w:rFonts w:cs="Times New Roman"/>
          <w:i/>
          <w:color w:val="000000" w:themeColor="text1"/>
        </w:rPr>
        <w:t>The Oil Age</w:t>
      </w:r>
      <w:r w:rsidRPr="00C7798C">
        <w:rPr>
          <w:rFonts w:cs="Times New Roman"/>
          <w:color w:val="000000" w:themeColor="text1"/>
        </w:rPr>
        <w:t>, Vol. 1 (2): 57-83. Available at: www.theoilage.org</w:t>
      </w:r>
    </w:p>
    <w:p w14:paraId="1423483A" w14:textId="77777777" w:rsidR="004A73C3" w:rsidRPr="00C7798C" w:rsidRDefault="004A73C3" w:rsidP="00C7798C">
      <w:pPr>
        <w:pStyle w:val="ListParagraph"/>
        <w:numPr>
          <w:ilvl w:val="0"/>
          <w:numId w:val="43"/>
        </w:numPr>
        <w:ind w:left="567" w:hanging="283"/>
        <w:jc w:val="both"/>
        <w:rPr>
          <w:rFonts w:cs="Times New Roman"/>
          <w:color w:val="000000" w:themeColor="text1"/>
        </w:rPr>
      </w:pPr>
      <w:r w:rsidRPr="00C7798C">
        <w:rPr>
          <w:rFonts w:cs="Times New Roman"/>
          <w:color w:val="000000" w:themeColor="text1"/>
        </w:rPr>
        <w:t xml:space="preserve">Bentley, R.W. &amp; Bentley Y. (2015b), ‘Explaining the Price of Oil 1971 to 2014 - The Need to Use Reliable Data on Oil discovery and to Account for ‘Mid-point’ Peak’. </w:t>
      </w:r>
      <w:r w:rsidRPr="00C7798C">
        <w:rPr>
          <w:rFonts w:cs="Times New Roman"/>
          <w:i/>
          <w:color w:val="000000" w:themeColor="text1"/>
        </w:rPr>
        <w:t>Energy Policy</w:t>
      </w:r>
      <w:r w:rsidRPr="00C7798C">
        <w:rPr>
          <w:rFonts w:cs="Times New Roman"/>
          <w:color w:val="000000" w:themeColor="text1"/>
        </w:rPr>
        <w:t xml:space="preserve">.  Vol. 86: 880-890. </w:t>
      </w:r>
    </w:p>
    <w:p w14:paraId="28968BF3" w14:textId="45B1570A" w:rsidR="004A73C3" w:rsidRPr="00C7798C" w:rsidRDefault="004A73C3" w:rsidP="00C7798C">
      <w:pPr>
        <w:pStyle w:val="ListParagraph"/>
        <w:numPr>
          <w:ilvl w:val="0"/>
          <w:numId w:val="43"/>
        </w:numPr>
        <w:ind w:left="567" w:hanging="283"/>
        <w:jc w:val="both"/>
        <w:rPr>
          <w:rFonts w:cs="Times New Roman"/>
          <w:color w:val="000000" w:themeColor="text1"/>
        </w:rPr>
      </w:pPr>
      <w:proofErr w:type="spellStart"/>
      <w:r w:rsidRPr="00C7798C">
        <w:rPr>
          <w:rFonts w:cs="Times New Roman"/>
          <w:color w:val="000000" w:themeColor="text1"/>
        </w:rPr>
        <w:t>Busse</w:t>
      </w:r>
      <w:proofErr w:type="spellEnd"/>
      <w:r w:rsidRPr="00C7798C">
        <w:rPr>
          <w:rFonts w:cs="Times New Roman"/>
          <w:color w:val="000000" w:themeColor="text1"/>
        </w:rPr>
        <w:t xml:space="preserve">, C., </w:t>
      </w:r>
      <w:proofErr w:type="spellStart"/>
      <w:r w:rsidRPr="00C7798C">
        <w:rPr>
          <w:rFonts w:cs="Times New Roman"/>
          <w:color w:val="000000" w:themeColor="text1"/>
        </w:rPr>
        <w:t>Regelmann</w:t>
      </w:r>
      <w:proofErr w:type="spellEnd"/>
      <w:r w:rsidRPr="00C7798C">
        <w:rPr>
          <w:rFonts w:cs="Times New Roman"/>
          <w:color w:val="000000" w:themeColor="text1"/>
        </w:rPr>
        <w:t xml:space="preserve">, A., </w:t>
      </w:r>
      <w:proofErr w:type="spellStart"/>
      <w:r w:rsidRPr="00C7798C">
        <w:rPr>
          <w:rFonts w:cs="Times New Roman"/>
          <w:color w:val="000000" w:themeColor="text1"/>
        </w:rPr>
        <w:t>Chithambaram</w:t>
      </w:r>
      <w:proofErr w:type="spellEnd"/>
      <w:r w:rsidRPr="00C7798C">
        <w:rPr>
          <w:rFonts w:cs="Times New Roman"/>
          <w:color w:val="000000" w:themeColor="text1"/>
        </w:rPr>
        <w:t>, H.</w:t>
      </w:r>
      <w:r w:rsidR="0026055F" w:rsidRPr="00C7798C">
        <w:rPr>
          <w:rFonts w:cs="Times New Roman"/>
          <w:color w:val="000000" w:themeColor="text1"/>
        </w:rPr>
        <w:t xml:space="preserve"> &amp; </w:t>
      </w:r>
      <w:r w:rsidRPr="00C7798C">
        <w:rPr>
          <w:rFonts w:cs="Times New Roman"/>
          <w:color w:val="000000" w:themeColor="text1"/>
        </w:rPr>
        <w:t xml:space="preserve">Wagner, S.M., (2017), ‘Managerial perceptions of energy in logistics: An integration of the theory of planned </w:t>
      </w:r>
      <w:proofErr w:type="spellStart"/>
      <w:r w:rsidRPr="00C7798C">
        <w:rPr>
          <w:rFonts w:cs="Times New Roman"/>
          <w:color w:val="000000" w:themeColor="text1"/>
        </w:rPr>
        <w:t>behavior</w:t>
      </w:r>
      <w:proofErr w:type="spellEnd"/>
      <w:r w:rsidRPr="00C7798C">
        <w:rPr>
          <w:rFonts w:cs="Times New Roman"/>
          <w:color w:val="000000" w:themeColor="text1"/>
        </w:rPr>
        <w:t xml:space="preserve"> and stakeholder theory’, </w:t>
      </w:r>
      <w:r w:rsidRPr="00C7798C">
        <w:rPr>
          <w:rFonts w:cs="Times New Roman"/>
          <w:i/>
          <w:color w:val="000000" w:themeColor="text1"/>
        </w:rPr>
        <w:t>International Journal of Physical Distribution &amp; Logistics Management</w:t>
      </w:r>
      <w:r w:rsidRPr="00C7798C">
        <w:rPr>
          <w:rFonts w:cs="Times New Roman"/>
          <w:color w:val="000000" w:themeColor="text1"/>
        </w:rPr>
        <w:t xml:space="preserve">, Vol. 47, Issue 6: 447-471. </w:t>
      </w:r>
    </w:p>
    <w:p w14:paraId="3283A991" w14:textId="77777777" w:rsidR="004A73C3" w:rsidRPr="00C7798C" w:rsidRDefault="004A73C3" w:rsidP="00C7798C">
      <w:pPr>
        <w:pStyle w:val="ListParagraph"/>
        <w:numPr>
          <w:ilvl w:val="0"/>
          <w:numId w:val="43"/>
        </w:numPr>
        <w:ind w:left="567" w:hanging="283"/>
        <w:jc w:val="both"/>
        <w:rPr>
          <w:rFonts w:cs="Times New Roman"/>
          <w:color w:val="000000" w:themeColor="text1"/>
        </w:rPr>
      </w:pPr>
      <w:r w:rsidRPr="00C7798C">
        <w:rPr>
          <w:rFonts w:cs="Times New Roman"/>
          <w:color w:val="000000" w:themeColor="text1"/>
        </w:rPr>
        <w:t xml:space="preserve">Campbell, C. J. and Bentley, R. W. (2016). ‘Observations on the present low price of oil’. </w:t>
      </w:r>
      <w:r w:rsidRPr="00C7798C">
        <w:rPr>
          <w:rFonts w:cs="Times New Roman"/>
          <w:i/>
          <w:color w:val="000000" w:themeColor="text1"/>
        </w:rPr>
        <w:t>The Oil Age</w:t>
      </w:r>
      <w:r w:rsidRPr="00C7798C">
        <w:rPr>
          <w:rFonts w:cs="Times New Roman"/>
          <w:color w:val="000000" w:themeColor="text1"/>
        </w:rPr>
        <w:t xml:space="preserve">, Vol. 2, No. 1, pp 1 – 8.   </w:t>
      </w:r>
    </w:p>
    <w:p w14:paraId="000CF3AD" w14:textId="53EB2871" w:rsidR="004A73C3" w:rsidRPr="00C7798C" w:rsidRDefault="004A73C3" w:rsidP="00C7798C">
      <w:pPr>
        <w:pStyle w:val="ListParagraph"/>
        <w:numPr>
          <w:ilvl w:val="0"/>
          <w:numId w:val="43"/>
        </w:numPr>
        <w:ind w:left="567" w:hanging="283"/>
        <w:jc w:val="both"/>
        <w:rPr>
          <w:rFonts w:cs="Times New Roman"/>
          <w:color w:val="000000" w:themeColor="text1"/>
        </w:rPr>
      </w:pPr>
      <w:r w:rsidRPr="00C7798C">
        <w:rPr>
          <w:rFonts w:cs="Times New Roman"/>
          <w:color w:val="000000" w:themeColor="text1"/>
        </w:rPr>
        <w:t xml:space="preserve">Christopher, M. </w:t>
      </w:r>
      <w:r w:rsidR="0026055F" w:rsidRPr="00C7798C">
        <w:rPr>
          <w:rFonts w:cs="Times New Roman"/>
          <w:color w:val="000000" w:themeColor="text1"/>
        </w:rPr>
        <w:t>&amp;</w:t>
      </w:r>
      <w:r w:rsidRPr="00C7798C">
        <w:rPr>
          <w:rFonts w:cs="Times New Roman"/>
          <w:color w:val="000000" w:themeColor="text1"/>
        </w:rPr>
        <w:t xml:space="preserve"> </w:t>
      </w:r>
      <w:proofErr w:type="spellStart"/>
      <w:r w:rsidRPr="00C7798C">
        <w:rPr>
          <w:rFonts w:cs="Times New Roman"/>
          <w:color w:val="000000" w:themeColor="text1"/>
        </w:rPr>
        <w:t>Holweg</w:t>
      </w:r>
      <w:proofErr w:type="spellEnd"/>
      <w:r w:rsidRPr="00C7798C">
        <w:rPr>
          <w:rFonts w:cs="Times New Roman"/>
          <w:color w:val="000000" w:themeColor="text1"/>
        </w:rPr>
        <w:t xml:space="preserve">, </w:t>
      </w:r>
      <w:proofErr w:type="gramStart"/>
      <w:r w:rsidRPr="00C7798C">
        <w:rPr>
          <w:rFonts w:cs="Times New Roman"/>
          <w:color w:val="000000" w:themeColor="text1"/>
        </w:rPr>
        <w:t>M</w:t>
      </w:r>
      <w:proofErr w:type="gramEnd"/>
      <w:r w:rsidRPr="00C7798C">
        <w:rPr>
          <w:rFonts w:cs="Times New Roman"/>
          <w:color w:val="000000" w:themeColor="text1"/>
        </w:rPr>
        <w:t xml:space="preserve">. (2011), ‘Supply Chain 2.0: Managing Supply Chains in the era of Turbulence’. </w:t>
      </w:r>
      <w:r w:rsidRPr="00C7798C">
        <w:rPr>
          <w:rFonts w:cs="Times New Roman"/>
          <w:i/>
          <w:color w:val="000000" w:themeColor="text1"/>
        </w:rPr>
        <w:t>International Journal of Physical Distribution &amp; Logistics Management</w:t>
      </w:r>
      <w:r w:rsidRPr="00C7798C">
        <w:rPr>
          <w:rFonts w:cs="Times New Roman"/>
          <w:color w:val="000000" w:themeColor="text1"/>
        </w:rPr>
        <w:t>, 41 (1), 63–82.</w:t>
      </w:r>
    </w:p>
    <w:p w14:paraId="0BECD8B7" w14:textId="77777777" w:rsidR="004A73C3" w:rsidRPr="00C7798C" w:rsidRDefault="004A73C3" w:rsidP="00C7798C">
      <w:pPr>
        <w:pStyle w:val="ListParagraph"/>
        <w:numPr>
          <w:ilvl w:val="0"/>
          <w:numId w:val="43"/>
        </w:numPr>
        <w:ind w:left="567" w:hanging="283"/>
        <w:jc w:val="both"/>
        <w:rPr>
          <w:rFonts w:cs="Times New Roman"/>
          <w:color w:val="000000" w:themeColor="text1"/>
        </w:rPr>
      </w:pPr>
      <w:r w:rsidRPr="00C7798C">
        <w:rPr>
          <w:rFonts w:cs="Times New Roman"/>
          <w:color w:val="000000" w:themeColor="text1"/>
        </w:rPr>
        <w:t xml:space="preserve">Inman, M. (2016). </w:t>
      </w:r>
      <w:r w:rsidRPr="00C7798C">
        <w:rPr>
          <w:rFonts w:cs="Times New Roman"/>
          <w:i/>
          <w:color w:val="000000" w:themeColor="text1"/>
        </w:rPr>
        <w:t>The Oracle of Oil – A Maverick Geologist’s Quest for a Sustainable Future</w:t>
      </w:r>
      <w:r w:rsidRPr="00C7798C">
        <w:rPr>
          <w:rFonts w:cs="Times New Roman"/>
          <w:color w:val="000000" w:themeColor="text1"/>
        </w:rPr>
        <w:t>. W.W. Norton &amp; Co. Inc.</w:t>
      </w:r>
    </w:p>
    <w:p w14:paraId="1842A60C" w14:textId="1937A8C0" w:rsidR="004A73C3" w:rsidRPr="00C7798C" w:rsidRDefault="004A73C3" w:rsidP="00C7798C">
      <w:pPr>
        <w:pStyle w:val="ListParagraph"/>
        <w:numPr>
          <w:ilvl w:val="0"/>
          <w:numId w:val="43"/>
        </w:numPr>
        <w:ind w:left="567" w:hanging="283"/>
        <w:jc w:val="both"/>
        <w:rPr>
          <w:rFonts w:cs="Times New Roman"/>
          <w:color w:val="000000" w:themeColor="text1"/>
        </w:rPr>
      </w:pPr>
      <w:r w:rsidRPr="00C7798C">
        <w:rPr>
          <w:rFonts w:cs="Times New Roman"/>
          <w:color w:val="000000" w:themeColor="text1"/>
        </w:rPr>
        <w:t xml:space="preserve">Ramanathan, R. (2016), ‘Energy and </w:t>
      </w:r>
      <w:r w:rsidR="0026055F" w:rsidRPr="00C7798C">
        <w:rPr>
          <w:rFonts w:cs="Times New Roman"/>
          <w:color w:val="000000" w:themeColor="text1"/>
        </w:rPr>
        <w:t>e</w:t>
      </w:r>
      <w:r w:rsidRPr="00C7798C">
        <w:rPr>
          <w:rFonts w:cs="Times New Roman"/>
          <w:color w:val="000000" w:themeColor="text1"/>
        </w:rPr>
        <w:t xml:space="preserve">nvironmental issues in international business.’ </w:t>
      </w:r>
      <w:r w:rsidRPr="00C7798C">
        <w:rPr>
          <w:rFonts w:cs="Times New Roman"/>
          <w:i/>
          <w:color w:val="000000" w:themeColor="text1"/>
        </w:rPr>
        <w:t>Journal of Contemporary Management and Development Studies</w:t>
      </w:r>
      <w:r w:rsidRPr="00C7798C">
        <w:rPr>
          <w:rFonts w:cs="Times New Roman"/>
          <w:color w:val="000000" w:themeColor="text1"/>
        </w:rPr>
        <w:t>, 4(1), 44-60.</w:t>
      </w:r>
    </w:p>
    <w:p w14:paraId="4FE8D904" w14:textId="77777777" w:rsidR="004A73C3" w:rsidRPr="00C7798C" w:rsidRDefault="004A73C3" w:rsidP="00C7798C">
      <w:pPr>
        <w:pStyle w:val="ListParagraph"/>
        <w:numPr>
          <w:ilvl w:val="0"/>
          <w:numId w:val="43"/>
        </w:numPr>
        <w:ind w:left="567" w:hanging="283"/>
        <w:jc w:val="both"/>
        <w:rPr>
          <w:rFonts w:cs="Times New Roman"/>
          <w:color w:val="000000" w:themeColor="text1"/>
        </w:rPr>
      </w:pPr>
      <w:r w:rsidRPr="00C7798C">
        <w:rPr>
          <w:rFonts w:cs="Times New Roman"/>
          <w:color w:val="000000" w:themeColor="text1"/>
        </w:rPr>
        <w:t xml:space="preserve">Ronen, D. (2011), ‘The effect of oil price on containership speed and fleet size’. </w:t>
      </w:r>
      <w:r w:rsidRPr="00C7798C">
        <w:rPr>
          <w:rFonts w:cs="Times New Roman"/>
          <w:i/>
          <w:color w:val="000000" w:themeColor="text1"/>
        </w:rPr>
        <w:t>Journal of the Operational Research Society</w:t>
      </w:r>
      <w:r w:rsidRPr="00C7798C">
        <w:rPr>
          <w:rFonts w:cs="Times New Roman"/>
          <w:color w:val="000000" w:themeColor="text1"/>
        </w:rPr>
        <w:t>, Volume 62 (1), 211-216.</w:t>
      </w:r>
    </w:p>
    <w:p w14:paraId="32DA611D" w14:textId="1154CEAC" w:rsidR="004A73C3" w:rsidRPr="00C7798C" w:rsidRDefault="004A73C3" w:rsidP="00C7798C">
      <w:pPr>
        <w:pStyle w:val="ListParagraph"/>
        <w:numPr>
          <w:ilvl w:val="0"/>
          <w:numId w:val="43"/>
        </w:numPr>
        <w:ind w:left="567" w:hanging="283"/>
        <w:jc w:val="both"/>
        <w:rPr>
          <w:rFonts w:cs="Times New Roman"/>
          <w:color w:val="000000" w:themeColor="text1"/>
        </w:rPr>
      </w:pPr>
      <w:r w:rsidRPr="00C7798C">
        <w:rPr>
          <w:rFonts w:cs="Times New Roman"/>
          <w:color w:val="000000" w:themeColor="text1"/>
        </w:rPr>
        <w:t xml:space="preserve">Wachtmeister, </w:t>
      </w:r>
      <w:r w:rsidR="0026055F" w:rsidRPr="00C7798C">
        <w:rPr>
          <w:rFonts w:cs="Times New Roman"/>
          <w:color w:val="000000" w:themeColor="text1"/>
        </w:rPr>
        <w:t xml:space="preserve">H., </w:t>
      </w:r>
      <w:r w:rsidRPr="00C7798C">
        <w:rPr>
          <w:rFonts w:cs="Times New Roman"/>
          <w:color w:val="000000" w:themeColor="text1"/>
        </w:rPr>
        <w:t>Henke,</w:t>
      </w:r>
      <w:r w:rsidR="0026055F" w:rsidRPr="00C7798C">
        <w:rPr>
          <w:rFonts w:cs="Times New Roman"/>
          <w:color w:val="000000" w:themeColor="text1"/>
        </w:rPr>
        <w:t xml:space="preserve"> P. &amp; </w:t>
      </w:r>
      <w:r w:rsidRPr="00C7798C">
        <w:rPr>
          <w:rFonts w:cs="Times New Roman"/>
          <w:color w:val="000000" w:themeColor="text1"/>
        </w:rPr>
        <w:t>H</w:t>
      </w:r>
      <w:r w:rsidRPr="00C7798C">
        <w:rPr>
          <w:rFonts w:cs="Calibri Light"/>
          <w:color w:val="000000" w:themeColor="text1"/>
        </w:rPr>
        <w:t>öö</w:t>
      </w:r>
      <w:r w:rsidRPr="00C7798C">
        <w:rPr>
          <w:rFonts w:cs="Times New Roman"/>
          <w:color w:val="000000" w:themeColor="text1"/>
        </w:rPr>
        <w:t>k</w:t>
      </w:r>
      <w:r w:rsidR="0026055F" w:rsidRPr="00C7798C">
        <w:rPr>
          <w:rFonts w:cs="Times New Roman"/>
          <w:color w:val="000000" w:themeColor="text1"/>
        </w:rPr>
        <w:t>, M. (2018),</w:t>
      </w:r>
      <w:r w:rsidRPr="00C7798C">
        <w:rPr>
          <w:rFonts w:cs="Times New Roman"/>
          <w:color w:val="000000" w:themeColor="text1"/>
        </w:rPr>
        <w:t xml:space="preserve"> ‘Oil projections in retrospect: Revisions, accuracy and current uncertainty’. </w:t>
      </w:r>
      <w:r w:rsidRPr="00C7798C">
        <w:rPr>
          <w:rFonts w:cs="Times New Roman"/>
          <w:i/>
          <w:color w:val="000000" w:themeColor="text1"/>
        </w:rPr>
        <w:t>Applied Energy</w:t>
      </w:r>
      <w:r w:rsidRPr="00C7798C">
        <w:rPr>
          <w:rFonts w:cs="Times New Roman"/>
          <w:color w:val="000000" w:themeColor="text1"/>
        </w:rPr>
        <w:t>, No. 220 (2018) 138-153.</w:t>
      </w:r>
    </w:p>
    <w:p w14:paraId="73B05379" w14:textId="7ECC640E" w:rsidR="004A73C3" w:rsidRPr="00D26378" w:rsidRDefault="004A73C3" w:rsidP="00AE5C82">
      <w:pPr>
        <w:ind w:left="720" w:hanging="720"/>
        <w:rPr>
          <w:rFonts w:cs="Times New Roman"/>
          <w:b/>
          <w:color w:val="000000" w:themeColor="text1"/>
          <w:sz w:val="14"/>
        </w:rPr>
      </w:pPr>
    </w:p>
    <w:p w14:paraId="1D80856D" w14:textId="4EF0E819" w:rsidR="005E3522" w:rsidRPr="00D26378" w:rsidRDefault="005E3522" w:rsidP="00826E36">
      <w:pPr>
        <w:tabs>
          <w:tab w:val="left" w:pos="1527"/>
        </w:tabs>
        <w:jc w:val="both"/>
        <w:rPr>
          <w:rFonts w:cs="Times New Roman"/>
          <w:b/>
          <w:color w:val="000000" w:themeColor="text1"/>
          <w:u w:val="single"/>
        </w:rPr>
      </w:pPr>
      <w:r w:rsidRPr="00C7798C">
        <w:rPr>
          <w:rFonts w:cs="Times New Roman"/>
          <w:b/>
          <w:color w:val="000000" w:themeColor="text1"/>
          <w:u w:val="single"/>
        </w:rPr>
        <w:t>Appendix</w:t>
      </w:r>
      <w:r w:rsidR="00AA1E51" w:rsidRPr="00C7798C">
        <w:rPr>
          <w:rFonts w:cs="Times New Roman"/>
          <w:b/>
          <w:color w:val="000000" w:themeColor="text1"/>
          <w:u w:val="single"/>
        </w:rPr>
        <w:t xml:space="preserve">. The </w:t>
      </w:r>
      <w:r w:rsidR="00FC71AE" w:rsidRPr="00C7798C">
        <w:rPr>
          <w:rFonts w:cs="Times New Roman"/>
          <w:b/>
          <w:color w:val="000000" w:themeColor="text1"/>
          <w:u w:val="single"/>
        </w:rPr>
        <w:t>Drivers of Oil P</w:t>
      </w:r>
      <w:r w:rsidR="007536EB" w:rsidRPr="00C7798C">
        <w:rPr>
          <w:rFonts w:cs="Times New Roman"/>
          <w:b/>
          <w:color w:val="000000" w:themeColor="text1"/>
          <w:u w:val="single"/>
        </w:rPr>
        <w:t>rice</w:t>
      </w:r>
      <w:r w:rsidR="00C90DBE" w:rsidRPr="00C7798C">
        <w:rPr>
          <w:rFonts w:cs="Times New Roman"/>
          <w:b/>
          <w:color w:val="000000" w:themeColor="text1"/>
          <w:u w:val="single"/>
        </w:rPr>
        <w:t xml:space="preserve">: </w:t>
      </w:r>
      <w:r w:rsidR="00AA1E51" w:rsidRPr="00C7798C">
        <w:rPr>
          <w:rFonts w:cs="Times New Roman"/>
          <w:b/>
          <w:color w:val="000000" w:themeColor="text1"/>
          <w:u w:val="single"/>
        </w:rPr>
        <w:t xml:space="preserve">An </w:t>
      </w:r>
      <w:r w:rsidR="00FC71AE" w:rsidRPr="00C7798C">
        <w:rPr>
          <w:rFonts w:cs="Times New Roman"/>
          <w:b/>
          <w:color w:val="000000" w:themeColor="text1"/>
          <w:u w:val="single"/>
        </w:rPr>
        <w:t>H</w:t>
      </w:r>
      <w:r w:rsidR="007536EB" w:rsidRPr="00C7798C">
        <w:rPr>
          <w:rFonts w:cs="Times New Roman"/>
          <w:b/>
          <w:color w:val="000000" w:themeColor="text1"/>
          <w:u w:val="single"/>
        </w:rPr>
        <w:t>is</w:t>
      </w:r>
      <w:r w:rsidR="00FC71AE" w:rsidRPr="00C7798C">
        <w:rPr>
          <w:rFonts w:cs="Times New Roman"/>
          <w:b/>
          <w:color w:val="000000" w:themeColor="text1"/>
          <w:u w:val="single"/>
        </w:rPr>
        <w:t>torical P</w:t>
      </w:r>
      <w:r w:rsidR="007536EB" w:rsidRPr="00C7798C">
        <w:rPr>
          <w:rFonts w:cs="Times New Roman"/>
          <w:b/>
          <w:color w:val="000000" w:themeColor="text1"/>
          <w:u w:val="single"/>
        </w:rPr>
        <w:t>erspective</w:t>
      </w:r>
    </w:p>
    <w:p w14:paraId="30362C87" w14:textId="785BD0BB" w:rsidR="007536EB" w:rsidRPr="00826E36" w:rsidRDefault="007536EB" w:rsidP="00826E36">
      <w:pPr>
        <w:jc w:val="both"/>
        <w:rPr>
          <w:rFonts w:cs="Times New Roman"/>
          <w:color w:val="000000" w:themeColor="text1"/>
        </w:rPr>
      </w:pPr>
      <w:r w:rsidRPr="00826E36">
        <w:rPr>
          <w:rFonts w:cs="Times New Roman"/>
          <w:color w:val="000000" w:themeColor="text1"/>
        </w:rPr>
        <w:t xml:space="preserve">Here we look </w:t>
      </w:r>
      <w:r w:rsidR="00BE4AFC">
        <w:rPr>
          <w:rFonts w:cs="Times New Roman"/>
          <w:color w:val="000000" w:themeColor="text1"/>
        </w:rPr>
        <w:t xml:space="preserve">briefly </w:t>
      </w:r>
      <w:r w:rsidRPr="00826E36">
        <w:rPr>
          <w:rFonts w:cs="Times New Roman"/>
          <w:color w:val="000000" w:themeColor="text1"/>
        </w:rPr>
        <w:t>at</w:t>
      </w:r>
      <w:r w:rsidR="00C90DBE">
        <w:rPr>
          <w:rFonts w:cs="Times New Roman"/>
          <w:color w:val="000000" w:themeColor="text1"/>
        </w:rPr>
        <w:t xml:space="preserve"> the </w:t>
      </w:r>
      <w:r w:rsidR="00474912">
        <w:rPr>
          <w:rFonts w:cs="Times New Roman"/>
          <w:color w:val="000000" w:themeColor="text1"/>
        </w:rPr>
        <w:t xml:space="preserve">fundamental </w:t>
      </w:r>
      <w:r w:rsidR="00C90DBE">
        <w:rPr>
          <w:rFonts w:cs="Times New Roman"/>
          <w:color w:val="000000" w:themeColor="text1"/>
        </w:rPr>
        <w:t>drivers of oil price</w:t>
      </w:r>
      <w:r w:rsidRPr="00826E36">
        <w:rPr>
          <w:rFonts w:cs="Times New Roman"/>
          <w:color w:val="000000" w:themeColor="text1"/>
        </w:rPr>
        <w:t xml:space="preserve">, and set these in an historical perspective. For the half-century from 1920 to 1970 large volumes of </w:t>
      </w:r>
      <w:r w:rsidRPr="00474912">
        <w:rPr>
          <w:rFonts w:cs="Times New Roman"/>
          <w:i/>
          <w:color w:val="000000" w:themeColor="text1"/>
        </w:rPr>
        <w:t xml:space="preserve">conventional </w:t>
      </w:r>
      <w:r w:rsidRPr="00826E36">
        <w:rPr>
          <w:rFonts w:cs="Times New Roman"/>
          <w:color w:val="000000" w:themeColor="text1"/>
        </w:rPr>
        <w:t xml:space="preserve">oil were discovered globally (Bentley, 2016). These volumes were </w:t>
      </w:r>
      <w:r w:rsidRPr="00C90DBE">
        <w:rPr>
          <w:rFonts w:cs="Times New Roman"/>
          <w:i/>
          <w:color w:val="000000" w:themeColor="text1"/>
        </w:rPr>
        <w:t>much in excess</w:t>
      </w:r>
      <w:r w:rsidRPr="00826E36">
        <w:rPr>
          <w:rFonts w:cs="Times New Roman"/>
          <w:color w:val="000000" w:themeColor="text1"/>
        </w:rPr>
        <w:t xml:space="preserve"> of demand</w:t>
      </w:r>
      <w:r w:rsidR="00C90DBE">
        <w:rPr>
          <w:rFonts w:cs="Times New Roman"/>
          <w:color w:val="000000" w:themeColor="text1"/>
        </w:rPr>
        <w:t xml:space="preserve">, </w:t>
      </w:r>
      <w:r w:rsidRPr="00826E36">
        <w:rPr>
          <w:rFonts w:cs="Times New Roman"/>
          <w:color w:val="000000" w:themeColor="text1"/>
        </w:rPr>
        <w:t>even though</w:t>
      </w:r>
      <w:r w:rsidR="00C90DBE">
        <w:rPr>
          <w:rFonts w:cs="Times New Roman"/>
          <w:color w:val="000000" w:themeColor="text1"/>
        </w:rPr>
        <w:t xml:space="preserve"> the latter was growing rapidly</w:t>
      </w:r>
      <w:r w:rsidRPr="00826E36">
        <w:rPr>
          <w:rFonts w:cs="Times New Roman"/>
          <w:color w:val="000000" w:themeColor="text1"/>
        </w:rPr>
        <w:t xml:space="preserve">.  Consequently, despite widespread attempts at market support, the price of oil fell steadily from about $30/bbl (in current real-terms) in 1920 to close to $10/bbl (real-terms) in 1970. This long price decline </w:t>
      </w:r>
      <w:r w:rsidR="00474912">
        <w:rPr>
          <w:rFonts w:cs="Times New Roman"/>
          <w:color w:val="000000" w:themeColor="text1"/>
        </w:rPr>
        <w:t>helped support</w:t>
      </w:r>
      <w:r w:rsidRPr="00826E36">
        <w:rPr>
          <w:rFonts w:cs="Times New Roman"/>
          <w:color w:val="000000" w:themeColor="text1"/>
        </w:rPr>
        <w:t xml:space="preserve"> major increases in many forms of economic activity, including in the transport associated with logistics and SC activities. But then came the first ‘oil shock’ in 1973, with its sharp rise in </w:t>
      </w:r>
      <w:r w:rsidRPr="00DB7027">
        <w:rPr>
          <w:rFonts w:cs="Times New Roman"/>
        </w:rPr>
        <w:t xml:space="preserve">price (Figure </w:t>
      </w:r>
      <w:r w:rsidR="00DB7027">
        <w:rPr>
          <w:rFonts w:cs="Times New Roman"/>
        </w:rPr>
        <w:t>A1</w:t>
      </w:r>
      <w:r w:rsidRPr="00DB7027">
        <w:rPr>
          <w:rFonts w:cs="Times New Roman"/>
        </w:rPr>
        <w:t xml:space="preserve">). When </w:t>
      </w:r>
      <w:r w:rsidRPr="00826E36">
        <w:rPr>
          <w:rFonts w:cs="Times New Roman"/>
          <w:color w:val="000000" w:themeColor="text1"/>
        </w:rPr>
        <w:t xml:space="preserve">coupled with the second price shock in 1978, the view developed among most analysts, and also the general public, that global oil supply was likely to ‘run out’ fairly soon. This view was supported by the size of the global proved (‘1P’) oil reserves at that date; and was </w:t>
      </w:r>
      <w:r w:rsidRPr="00826E36">
        <w:rPr>
          <w:rFonts w:cs="Times New Roman"/>
          <w:color w:val="000000" w:themeColor="text1"/>
        </w:rPr>
        <w:lastRenderedPageBreak/>
        <w:t xml:space="preserve">expressed most dramatically by President Carter’s </w:t>
      </w:r>
      <w:r w:rsidR="00C90DBE">
        <w:rPr>
          <w:rFonts w:cs="Times New Roman"/>
          <w:color w:val="000000" w:themeColor="text1"/>
        </w:rPr>
        <w:t>1977 speech</w:t>
      </w:r>
      <w:r w:rsidR="00474912">
        <w:rPr>
          <w:rFonts w:cs="Times New Roman"/>
          <w:color w:val="000000" w:themeColor="text1"/>
        </w:rPr>
        <w:t>,</w:t>
      </w:r>
      <w:r w:rsidR="00C90DBE">
        <w:rPr>
          <w:rFonts w:cs="Times New Roman"/>
          <w:color w:val="000000" w:themeColor="text1"/>
        </w:rPr>
        <w:t xml:space="preserve"> where he described tackling the </w:t>
      </w:r>
      <w:r w:rsidRPr="00826E36">
        <w:rPr>
          <w:rFonts w:cs="Times New Roman"/>
          <w:color w:val="000000" w:themeColor="text1"/>
        </w:rPr>
        <w:t xml:space="preserve">energy crisis </w:t>
      </w:r>
      <w:r w:rsidR="00C90DBE">
        <w:rPr>
          <w:rFonts w:cs="Times New Roman"/>
          <w:color w:val="000000" w:themeColor="text1"/>
        </w:rPr>
        <w:t xml:space="preserve">as </w:t>
      </w:r>
      <w:r w:rsidRPr="00826E36">
        <w:rPr>
          <w:rFonts w:cs="Times New Roman"/>
          <w:color w:val="000000" w:themeColor="text1"/>
        </w:rPr>
        <w:t xml:space="preserve">the ‘Moral Equivalent of War’. </w:t>
      </w:r>
    </w:p>
    <w:p w14:paraId="2956F17D" w14:textId="77777777" w:rsidR="007536EB" w:rsidRPr="00D26378" w:rsidRDefault="007536EB" w:rsidP="00826E36">
      <w:pPr>
        <w:jc w:val="both"/>
        <w:rPr>
          <w:rFonts w:cs="Times New Roman"/>
          <w:color w:val="000000" w:themeColor="text1"/>
          <w:sz w:val="14"/>
        </w:rPr>
      </w:pPr>
    </w:p>
    <w:p w14:paraId="077B15F7" w14:textId="2B43141E" w:rsidR="007536EB" w:rsidRPr="00826E36" w:rsidRDefault="007536EB" w:rsidP="00826E36">
      <w:pPr>
        <w:jc w:val="both"/>
        <w:rPr>
          <w:rFonts w:cs="Times New Roman"/>
          <w:color w:val="000000" w:themeColor="text1"/>
        </w:rPr>
      </w:pPr>
      <w:r w:rsidRPr="00826E36">
        <w:rPr>
          <w:rFonts w:cs="Times New Roman"/>
          <w:noProof/>
          <w:color w:val="000000" w:themeColor="text1"/>
          <w:lang w:eastAsia="ko-KR"/>
        </w:rPr>
        <w:drawing>
          <wp:inline distT="0" distB="0" distL="0" distR="0" wp14:anchorId="39AC31DE" wp14:editId="536E48AB">
            <wp:extent cx="2547768" cy="1530638"/>
            <wp:effectExtent l="0" t="0" r="508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stretch>
                      <a:fillRect/>
                    </a:stretch>
                  </pic:blipFill>
                  <pic:spPr>
                    <a:xfrm>
                      <a:off x="0" y="0"/>
                      <a:ext cx="2635581" cy="1583394"/>
                    </a:xfrm>
                    <a:prstGeom prst="rect">
                      <a:avLst/>
                    </a:prstGeom>
                  </pic:spPr>
                </pic:pic>
              </a:graphicData>
            </a:graphic>
          </wp:inline>
        </w:drawing>
      </w:r>
      <w:r w:rsidR="00B804C2">
        <w:rPr>
          <w:rFonts w:cs="Times New Roman"/>
          <w:color w:val="000000" w:themeColor="text1"/>
        </w:rPr>
        <w:t xml:space="preserve">  </w:t>
      </w:r>
      <w:r w:rsidR="00B804C2" w:rsidRPr="00B804C2">
        <w:rPr>
          <w:noProof/>
          <w:lang w:eastAsia="ko-KR"/>
        </w:rPr>
        <w:drawing>
          <wp:inline distT="0" distB="0" distL="0" distR="0" wp14:anchorId="47678390" wp14:editId="5B8E8534">
            <wp:extent cx="3085581" cy="155199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00711" cy="1609907"/>
                    </a:xfrm>
                    <a:prstGeom prst="rect">
                      <a:avLst/>
                    </a:prstGeom>
                  </pic:spPr>
                </pic:pic>
              </a:graphicData>
            </a:graphic>
          </wp:inline>
        </w:drawing>
      </w:r>
    </w:p>
    <w:p w14:paraId="68292A21" w14:textId="77777777" w:rsidR="00FC71AE" w:rsidRPr="00D26378" w:rsidRDefault="00FC71AE" w:rsidP="00826E36">
      <w:pPr>
        <w:tabs>
          <w:tab w:val="left" w:pos="2292"/>
        </w:tabs>
        <w:autoSpaceDE w:val="0"/>
        <w:autoSpaceDN w:val="0"/>
        <w:adjustRightInd w:val="0"/>
        <w:ind w:left="567" w:hanging="567"/>
        <w:jc w:val="both"/>
        <w:rPr>
          <w:rFonts w:cs="Arial"/>
          <w:color w:val="000000" w:themeColor="text1"/>
          <w:sz w:val="10"/>
        </w:rPr>
      </w:pPr>
    </w:p>
    <w:p w14:paraId="372B9A5E" w14:textId="2DF55B83" w:rsidR="00E428A4" w:rsidRDefault="00B804C2" w:rsidP="00317AA4">
      <w:pPr>
        <w:tabs>
          <w:tab w:val="left" w:pos="2292"/>
        </w:tabs>
        <w:autoSpaceDE w:val="0"/>
        <w:autoSpaceDN w:val="0"/>
        <w:adjustRightInd w:val="0"/>
        <w:ind w:left="567" w:hanging="567"/>
        <w:jc w:val="center"/>
        <w:rPr>
          <w:rFonts w:cs="Arial"/>
          <w:color w:val="000000" w:themeColor="text1"/>
        </w:rPr>
      </w:pPr>
      <w:r w:rsidRPr="00E428A4">
        <w:rPr>
          <w:rFonts w:cs="Arial"/>
          <w:color w:val="000000" w:themeColor="text1"/>
        </w:rPr>
        <w:t xml:space="preserve">Figure </w:t>
      </w:r>
      <w:r w:rsidR="00DB7027">
        <w:rPr>
          <w:rFonts w:cs="Arial"/>
          <w:color w:val="000000" w:themeColor="text1"/>
        </w:rPr>
        <w:t>A1</w:t>
      </w:r>
      <w:r w:rsidR="007536EB" w:rsidRPr="00E428A4">
        <w:rPr>
          <w:rFonts w:cs="Arial"/>
          <w:color w:val="000000" w:themeColor="text1"/>
        </w:rPr>
        <w:t xml:space="preserve">: </w:t>
      </w:r>
      <w:r w:rsidRPr="00E428A4">
        <w:rPr>
          <w:rFonts w:cs="Arial"/>
          <w:color w:val="000000" w:themeColor="text1"/>
        </w:rPr>
        <w:t xml:space="preserve">Left-hand graph: </w:t>
      </w:r>
      <w:r w:rsidR="007536EB" w:rsidRPr="00E428A4">
        <w:rPr>
          <w:rFonts w:cs="Arial"/>
          <w:color w:val="000000" w:themeColor="text1"/>
        </w:rPr>
        <w:t xml:space="preserve">Global </w:t>
      </w:r>
      <w:r w:rsidR="007536EB" w:rsidRPr="00FC71AE">
        <w:rPr>
          <w:rFonts w:cs="Arial"/>
          <w:color w:val="000000" w:themeColor="text1"/>
        </w:rPr>
        <w:t>oil production, and oil price: 1965 – 2016</w:t>
      </w:r>
      <w:r w:rsidR="00314B84">
        <w:rPr>
          <w:rFonts w:cs="Arial"/>
          <w:color w:val="000000" w:themeColor="text1"/>
        </w:rPr>
        <w:t xml:space="preserve">. </w:t>
      </w:r>
      <w:r w:rsidR="007536EB" w:rsidRPr="00FC71AE">
        <w:rPr>
          <w:rFonts w:cs="Arial"/>
          <w:color w:val="000000" w:themeColor="text1"/>
        </w:rPr>
        <w:t>Price averaged &gt;$80/bbl for most of 2007 to 2014 (and &gt;$100/bbl for a considerable part of this period.)</w:t>
      </w:r>
      <w:r w:rsidR="00E428A4">
        <w:rPr>
          <w:rFonts w:cs="Arial"/>
          <w:color w:val="000000" w:themeColor="text1"/>
        </w:rPr>
        <w:t xml:space="preserve"> </w:t>
      </w:r>
    </w:p>
    <w:p w14:paraId="5D7ECD99" w14:textId="3C0C6F55" w:rsidR="007536EB" w:rsidRPr="005E3522" w:rsidRDefault="007536EB" w:rsidP="00317AA4">
      <w:pPr>
        <w:tabs>
          <w:tab w:val="left" w:pos="2292"/>
        </w:tabs>
        <w:autoSpaceDE w:val="0"/>
        <w:autoSpaceDN w:val="0"/>
        <w:adjustRightInd w:val="0"/>
        <w:ind w:left="567" w:hanging="567"/>
        <w:jc w:val="center"/>
        <w:rPr>
          <w:rFonts w:cs="Arial"/>
          <w:color w:val="000000" w:themeColor="text1"/>
          <w:sz w:val="20"/>
        </w:rPr>
      </w:pPr>
      <w:r w:rsidRPr="005E3522">
        <w:rPr>
          <w:rFonts w:cs="Arial"/>
          <w:color w:val="000000" w:themeColor="text1"/>
          <w:sz w:val="20"/>
        </w:rPr>
        <w:t>Vertical bars (left-hand scale): Global ‘all-oil’ production, in millions of barrels/day</w:t>
      </w:r>
      <w:r w:rsidR="00E428A4" w:rsidRPr="005E3522">
        <w:rPr>
          <w:rFonts w:cs="Arial"/>
          <w:color w:val="000000" w:themeColor="text1"/>
          <w:sz w:val="20"/>
        </w:rPr>
        <w:t xml:space="preserve">. </w:t>
      </w:r>
      <w:r w:rsidRPr="005E3522">
        <w:rPr>
          <w:rFonts w:cs="Arial"/>
          <w:color w:val="000000" w:themeColor="text1"/>
          <w:sz w:val="20"/>
        </w:rPr>
        <w:t>Solid line (right-hand scale): Annual-average real-terms oil price, in 2016$/bbl</w:t>
      </w:r>
      <w:r w:rsidR="00E428A4" w:rsidRPr="005E3522">
        <w:rPr>
          <w:rFonts w:cs="Arial"/>
          <w:color w:val="000000" w:themeColor="text1"/>
          <w:sz w:val="20"/>
        </w:rPr>
        <w:t xml:space="preserve">. </w:t>
      </w:r>
      <w:r w:rsidRPr="005E3522">
        <w:rPr>
          <w:rFonts w:cs="Arial"/>
          <w:color w:val="000000" w:themeColor="text1"/>
          <w:sz w:val="20"/>
        </w:rPr>
        <w:t xml:space="preserve">Source: BP </w:t>
      </w:r>
      <w:r w:rsidRPr="005E3522">
        <w:rPr>
          <w:rFonts w:cs="Arial"/>
          <w:i/>
          <w:color w:val="000000" w:themeColor="text1"/>
          <w:sz w:val="20"/>
        </w:rPr>
        <w:t>Statistical Review 2017</w:t>
      </w:r>
      <w:r w:rsidRPr="005E3522">
        <w:rPr>
          <w:rFonts w:cs="Arial"/>
          <w:color w:val="000000" w:themeColor="text1"/>
          <w:sz w:val="20"/>
        </w:rPr>
        <w:t>; based on an original plot by E. Mearns</w:t>
      </w:r>
      <w:r w:rsidR="00E428A4" w:rsidRPr="005E3522">
        <w:rPr>
          <w:rFonts w:cs="Arial"/>
          <w:color w:val="000000" w:themeColor="text1"/>
          <w:sz w:val="20"/>
        </w:rPr>
        <w:t>.</w:t>
      </w:r>
    </w:p>
    <w:p w14:paraId="16546022" w14:textId="77777777" w:rsidR="004B69A6" w:rsidRDefault="00B804C2" w:rsidP="00E428A4">
      <w:pPr>
        <w:tabs>
          <w:tab w:val="left" w:pos="2292"/>
        </w:tabs>
        <w:autoSpaceDE w:val="0"/>
        <w:autoSpaceDN w:val="0"/>
        <w:adjustRightInd w:val="0"/>
        <w:ind w:left="567" w:hanging="567"/>
        <w:jc w:val="center"/>
        <w:rPr>
          <w:rFonts w:cs="Arial"/>
          <w:color w:val="000000" w:themeColor="text1"/>
          <w:sz w:val="20"/>
        </w:rPr>
      </w:pPr>
      <w:r w:rsidRPr="00897001">
        <w:rPr>
          <w:rFonts w:cs="Arial"/>
          <w:color w:val="000000" w:themeColor="text1"/>
        </w:rPr>
        <w:t>Right-hand graph: Global production of ‘All-liquids’</w:t>
      </w:r>
      <w:r w:rsidR="00E428A4" w:rsidRPr="00897001">
        <w:rPr>
          <w:rFonts w:cs="Arial"/>
          <w:color w:val="000000" w:themeColor="text1"/>
        </w:rPr>
        <w:t>.</w:t>
      </w:r>
      <w:r w:rsidR="00E428A4" w:rsidRPr="005E3522">
        <w:rPr>
          <w:rFonts w:cs="Arial"/>
          <w:color w:val="000000" w:themeColor="text1"/>
          <w:sz w:val="20"/>
        </w:rPr>
        <w:t xml:space="preserve"> </w:t>
      </w:r>
      <w:r w:rsidRPr="004B69A6">
        <w:rPr>
          <w:rFonts w:cs="Arial"/>
          <w:color w:val="000000" w:themeColor="text1"/>
        </w:rPr>
        <w:t>Global production of conventional oil has been on-plateau since 2005 despite an on-average high oil price</w:t>
      </w:r>
      <w:r w:rsidR="00E428A4" w:rsidRPr="004B69A6">
        <w:rPr>
          <w:rFonts w:cs="Arial"/>
          <w:color w:val="000000" w:themeColor="text1"/>
        </w:rPr>
        <w:t>.</w:t>
      </w:r>
      <w:r w:rsidR="00E428A4" w:rsidRPr="005E3522">
        <w:rPr>
          <w:rFonts w:cs="Arial"/>
          <w:color w:val="000000" w:themeColor="text1"/>
          <w:sz w:val="20"/>
        </w:rPr>
        <w:t xml:space="preserve"> </w:t>
      </w:r>
    </w:p>
    <w:p w14:paraId="16DD08CB" w14:textId="4BCD1967" w:rsidR="00B804C2" w:rsidRPr="005E3522" w:rsidRDefault="00E428A4" w:rsidP="00E428A4">
      <w:pPr>
        <w:tabs>
          <w:tab w:val="left" w:pos="2292"/>
        </w:tabs>
        <w:autoSpaceDE w:val="0"/>
        <w:autoSpaceDN w:val="0"/>
        <w:adjustRightInd w:val="0"/>
        <w:ind w:left="567" w:hanging="567"/>
        <w:jc w:val="center"/>
        <w:rPr>
          <w:rFonts w:cs="Times New Roman"/>
          <w:color w:val="000000" w:themeColor="text1"/>
          <w:sz w:val="20"/>
        </w:rPr>
      </w:pPr>
      <w:r w:rsidRPr="005E3522">
        <w:rPr>
          <w:rFonts w:cs="Arial"/>
          <w:color w:val="000000" w:themeColor="text1"/>
          <w:sz w:val="20"/>
        </w:rPr>
        <w:t xml:space="preserve">Data </w:t>
      </w:r>
      <w:r w:rsidR="00B804C2" w:rsidRPr="005E3522">
        <w:rPr>
          <w:rFonts w:cs="Arial"/>
          <w:color w:val="000000" w:themeColor="text1"/>
          <w:sz w:val="20"/>
        </w:rPr>
        <w:t xml:space="preserve">from US EIA (crude-plus-condensate, NGPLs, other liquids, and refinery gain); other categories from Laherrère et al. ‘Oil Forecasting – Data Sources and Data Problems, Part-1’, </w:t>
      </w:r>
      <w:r w:rsidR="00B804C2" w:rsidRPr="005E3522">
        <w:rPr>
          <w:rFonts w:cs="Arial"/>
          <w:i/>
          <w:color w:val="000000" w:themeColor="text1"/>
          <w:sz w:val="20"/>
        </w:rPr>
        <w:t>The Oil Age</w:t>
      </w:r>
      <w:r w:rsidR="00B804C2" w:rsidRPr="005E3522">
        <w:rPr>
          <w:rFonts w:cs="Arial"/>
          <w:color w:val="000000" w:themeColor="text1"/>
          <w:sz w:val="20"/>
        </w:rPr>
        <w:t xml:space="preserve"> (2) 3; 2016.  Real-terms oil price: BP </w:t>
      </w:r>
      <w:r w:rsidR="00B804C2" w:rsidRPr="005E3522">
        <w:rPr>
          <w:rFonts w:cs="Arial"/>
          <w:i/>
          <w:color w:val="000000" w:themeColor="text1"/>
          <w:sz w:val="20"/>
        </w:rPr>
        <w:t>Stats. Review</w:t>
      </w:r>
      <w:r w:rsidR="00B804C2" w:rsidRPr="005E3522">
        <w:rPr>
          <w:rFonts w:cs="Arial"/>
          <w:color w:val="000000" w:themeColor="text1"/>
          <w:sz w:val="20"/>
        </w:rPr>
        <w:t>.</w:t>
      </w:r>
    </w:p>
    <w:p w14:paraId="64A24750" w14:textId="77777777" w:rsidR="007536EB" w:rsidRPr="00D26378" w:rsidRDefault="007536EB" w:rsidP="00826E36">
      <w:pPr>
        <w:ind w:firstLine="284"/>
        <w:jc w:val="both"/>
        <w:rPr>
          <w:rFonts w:cs="Times New Roman"/>
          <w:color w:val="000000" w:themeColor="text1"/>
          <w:sz w:val="14"/>
        </w:rPr>
      </w:pPr>
    </w:p>
    <w:p w14:paraId="4096B502" w14:textId="0E46E66A" w:rsidR="007536EB" w:rsidRPr="00826E36" w:rsidRDefault="007536EB" w:rsidP="00826E36">
      <w:pPr>
        <w:jc w:val="both"/>
        <w:rPr>
          <w:rFonts w:cs="Times New Roman"/>
          <w:color w:val="000000" w:themeColor="text1"/>
        </w:rPr>
      </w:pPr>
      <w:r w:rsidRPr="00826E36">
        <w:rPr>
          <w:rFonts w:cs="Times New Roman"/>
          <w:color w:val="000000" w:themeColor="text1"/>
        </w:rPr>
        <w:t xml:space="preserve">However, an oil price shock around 1970 had in fact </w:t>
      </w:r>
      <w:r w:rsidRPr="00826E36">
        <w:rPr>
          <w:rFonts w:cs="Times New Roman"/>
          <w:i/>
          <w:color w:val="000000" w:themeColor="text1"/>
        </w:rPr>
        <w:t>long been correctly anticipated</w:t>
      </w:r>
      <w:r w:rsidRPr="00826E36">
        <w:rPr>
          <w:rFonts w:cs="Times New Roman"/>
          <w:color w:val="000000" w:themeColor="text1"/>
        </w:rPr>
        <w:t xml:space="preserve"> by those analysts (mostly scientists) that used ‘resource-based’ oil forecast models</w:t>
      </w:r>
      <w:r w:rsidR="00C90DBE">
        <w:rPr>
          <w:rFonts w:cs="Times New Roman"/>
          <w:color w:val="000000" w:themeColor="text1"/>
        </w:rPr>
        <w:t xml:space="preserve">. These </w:t>
      </w:r>
      <w:r w:rsidRPr="00826E36">
        <w:rPr>
          <w:rFonts w:cs="Times New Roman"/>
          <w:color w:val="000000" w:themeColor="text1"/>
        </w:rPr>
        <w:t xml:space="preserve">showed that US would reach its peak of </w:t>
      </w:r>
      <w:r w:rsidRPr="00826E36">
        <w:rPr>
          <w:rFonts w:cs="Times New Roman"/>
          <w:i/>
          <w:color w:val="000000" w:themeColor="text1"/>
        </w:rPr>
        <w:t>conventional</w:t>
      </w:r>
      <w:r w:rsidRPr="00826E36">
        <w:rPr>
          <w:rFonts w:cs="Times New Roman"/>
          <w:color w:val="000000" w:themeColor="text1"/>
        </w:rPr>
        <w:t xml:space="preserve"> oil production between about 1965 and 1970, and since the US was then the major oil supplier outside of OPEC, short-term global supply constraints were to be expected. Moreover, the general view in the late-70s to early-80s that global oil would ‘</w:t>
      </w:r>
      <w:r w:rsidRPr="00826E36">
        <w:rPr>
          <w:rFonts w:cs="Times New Roman"/>
          <w:i/>
          <w:color w:val="000000" w:themeColor="text1"/>
        </w:rPr>
        <w:t>run out’</w:t>
      </w:r>
      <w:r w:rsidRPr="00826E36">
        <w:rPr>
          <w:rFonts w:cs="Times New Roman"/>
          <w:color w:val="000000" w:themeColor="text1"/>
        </w:rPr>
        <w:t xml:space="preserve"> soon was itself at variance with similar ‘resource-based’ oil forecast models for the world as a whole. These showed that enough oil had been discovered </w:t>
      </w:r>
      <w:r w:rsidRPr="00826E36">
        <w:rPr>
          <w:rFonts w:cs="Times New Roman"/>
          <w:i/>
          <w:color w:val="000000" w:themeColor="text1"/>
        </w:rPr>
        <w:t>globally</w:t>
      </w:r>
      <w:r w:rsidRPr="00826E36">
        <w:rPr>
          <w:rFonts w:cs="Times New Roman"/>
          <w:color w:val="000000" w:themeColor="text1"/>
        </w:rPr>
        <w:t xml:space="preserve"> for total conventional oil production to continue to increase rapidly up until around the year 2000, before only then starting to decline. </w:t>
      </w:r>
    </w:p>
    <w:p w14:paraId="70AAEB9C" w14:textId="77777777" w:rsidR="007536EB" w:rsidRPr="00D26378" w:rsidRDefault="007536EB" w:rsidP="00826E36">
      <w:pPr>
        <w:jc w:val="both"/>
        <w:rPr>
          <w:rFonts w:cs="Times New Roman"/>
          <w:color w:val="000000" w:themeColor="text1"/>
          <w:sz w:val="14"/>
        </w:rPr>
      </w:pPr>
    </w:p>
    <w:p w14:paraId="681DB05D" w14:textId="21032EE1" w:rsidR="007536EB" w:rsidRPr="00826E36" w:rsidRDefault="007536EB" w:rsidP="00826E36">
      <w:pPr>
        <w:jc w:val="both"/>
        <w:rPr>
          <w:rFonts w:cs="Times New Roman"/>
          <w:color w:val="000000" w:themeColor="text1"/>
        </w:rPr>
      </w:pPr>
      <w:r w:rsidRPr="00826E36">
        <w:rPr>
          <w:rFonts w:cs="Times New Roman"/>
          <w:color w:val="000000" w:themeColor="text1"/>
        </w:rPr>
        <w:t xml:space="preserve">These global ‘resource-based’ models were indeed </w:t>
      </w:r>
      <w:r w:rsidRPr="00E428A4">
        <w:rPr>
          <w:rFonts w:cs="Times New Roman"/>
          <w:color w:val="000000" w:themeColor="text1"/>
        </w:rPr>
        <w:t>correct (</w:t>
      </w:r>
      <w:r w:rsidR="00E428A4" w:rsidRPr="00E428A4">
        <w:rPr>
          <w:rFonts w:cs="Times New Roman"/>
          <w:color w:val="000000" w:themeColor="text1"/>
        </w:rPr>
        <w:t xml:space="preserve">Figure </w:t>
      </w:r>
      <w:r w:rsidR="00DB7027">
        <w:rPr>
          <w:rFonts w:cs="Times New Roman"/>
          <w:color w:val="000000" w:themeColor="text1"/>
        </w:rPr>
        <w:t>A1</w:t>
      </w:r>
      <w:r w:rsidR="00E428A4" w:rsidRPr="00E428A4">
        <w:rPr>
          <w:rFonts w:cs="Times New Roman"/>
          <w:color w:val="000000" w:themeColor="text1"/>
        </w:rPr>
        <w:t>, left-hand graph</w:t>
      </w:r>
      <w:r w:rsidRPr="00E428A4">
        <w:rPr>
          <w:rFonts w:cs="Times New Roman"/>
          <w:color w:val="000000" w:themeColor="text1"/>
        </w:rPr>
        <w:t xml:space="preserve">), and after the </w:t>
      </w:r>
      <w:r w:rsidRPr="00826E36">
        <w:rPr>
          <w:rFonts w:cs="Times New Roman"/>
          <w:color w:val="000000" w:themeColor="text1"/>
        </w:rPr>
        <w:t xml:space="preserve">1970s price shocks, large volumes of new oil came on-stream from </w:t>
      </w:r>
      <w:r w:rsidRPr="00474912">
        <w:rPr>
          <w:rFonts w:cs="Times New Roman"/>
          <w:i/>
          <w:color w:val="000000" w:themeColor="text1"/>
        </w:rPr>
        <w:t>already discovered</w:t>
      </w:r>
      <w:r w:rsidRPr="00826E36">
        <w:rPr>
          <w:rFonts w:cs="Times New Roman"/>
          <w:color w:val="000000" w:themeColor="text1"/>
        </w:rPr>
        <w:t xml:space="preserve"> provinces, including Alaska, Mexico, the North Sea and elsewhere. In face of this new supply, OPEC initially cut production to maintain price, but Saudi Arabia, who took the bulk of these cuts, gave up the game in about 1985, and the price of oil fell dramatically.</w:t>
      </w:r>
    </w:p>
    <w:p w14:paraId="30EA37B3" w14:textId="59A2B141" w:rsidR="007536EB" w:rsidRPr="00D26378" w:rsidRDefault="007536EB" w:rsidP="00826E36">
      <w:pPr>
        <w:ind w:firstLine="284"/>
        <w:jc w:val="both"/>
        <w:rPr>
          <w:rFonts w:cs="Times New Roman"/>
          <w:color w:val="000000" w:themeColor="text1"/>
          <w:sz w:val="14"/>
        </w:rPr>
      </w:pPr>
    </w:p>
    <w:p w14:paraId="2467A027" w14:textId="5E474CBB" w:rsidR="007536EB" w:rsidRPr="00080A06" w:rsidRDefault="007536EB" w:rsidP="00A20E38">
      <w:pPr>
        <w:jc w:val="both"/>
        <w:rPr>
          <w:rFonts w:cs="Times New Roman"/>
          <w:color w:val="000000" w:themeColor="text1"/>
        </w:rPr>
      </w:pPr>
      <w:r w:rsidRPr="00826E36">
        <w:rPr>
          <w:rFonts w:cs="Times New Roman"/>
          <w:color w:val="000000" w:themeColor="text1"/>
        </w:rPr>
        <w:t xml:space="preserve">Unfortunately, on the basis of the new - and sustained - low price for oil after 1985, and hence the realisation that the widely-accepted ‘oil running out’ view had not been correct, the majority of analysts switched instead to an ‘oil cornucopia’ view, driven by the concept that oil reserves were simply inventory that could be replaced as needed. Despite the continued warnings from the global ‘resource-based’ models that supply difficulties of </w:t>
      </w:r>
      <w:r w:rsidR="006E01AE">
        <w:rPr>
          <w:rFonts w:cs="Times New Roman"/>
          <w:color w:val="000000" w:themeColor="text1"/>
        </w:rPr>
        <w:t>global</w:t>
      </w:r>
      <w:r w:rsidRPr="00826E36">
        <w:rPr>
          <w:rFonts w:cs="Times New Roman"/>
          <w:color w:val="000000" w:themeColor="text1"/>
        </w:rPr>
        <w:t xml:space="preserve"> </w:t>
      </w:r>
      <w:r w:rsidRPr="00474912">
        <w:rPr>
          <w:rFonts w:cs="Times New Roman"/>
          <w:i/>
          <w:color w:val="000000" w:themeColor="text1"/>
        </w:rPr>
        <w:t>conventional oil</w:t>
      </w:r>
      <w:r w:rsidRPr="00826E36">
        <w:rPr>
          <w:rFonts w:cs="Times New Roman"/>
          <w:color w:val="000000" w:themeColor="text1"/>
        </w:rPr>
        <w:t xml:space="preserve"> production were to be expected from about year 2000, this ‘cornucopia’ view dominated, and thus the rapid rise in oil price after 2003 (back to the 1978 real-terms levels of $100/bbl and above) came as a shock to most. The widely-cited reason for this rise in price was the increased demand for oil, particularly in Asia, rather than the correct reason of global resource constraints on the supply of conventional </w:t>
      </w:r>
      <w:r w:rsidRPr="00080A06">
        <w:rPr>
          <w:rFonts w:cs="Times New Roman"/>
          <w:color w:val="000000" w:themeColor="text1"/>
        </w:rPr>
        <w:t>oil</w:t>
      </w:r>
      <w:r w:rsidR="004B69A6">
        <w:rPr>
          <w:rFonts w:cs="Times New Roman"/>
          <w:color w:val="000000" w:themeColor="text1"/>
        </w:rPr>
        <w:t xml:space="preserve"> (see Figure A1, right-hand graph)</w:t>
      </w:r>
      <w:r w:rsidRPr="00080A06">
        <w:rPr>
          <w:rFonts w:cs="Times New Roman"/>
          <w:color w:val="000000" w:themeColor="text1"/>
        </w:rPr>
        <w:t xml:space="preserve">. </w:t>
      </w:r>
    </w:p>
    <w:p w14:paraId="0B537D05" w14:textId="77777777" w:rsidR="007536EB" w:rsidRPr="00D26378" w:rsidRDefault="007536EB" w:rsidP="00A20E38">
      <w:pPr>
        <w:jc w:val="both"/>
        <w:rPr>
          <w:rFonts w:cs="Times New Roman"/>
          <w:color w:val="000000" w:themeColor="text1"/>
          <w:sz w:val="14"/>
        </w:rPr>
      </w:pPr>
    </w:p>
    <w:p w14:paraId="1D8FA972" w14:textId="54005806" w:rsidR="00E428A4" w:rsidRPr="00E428A4" w:rsidRDefault="00B804C2" w:rsidP="00E428A4">
      <w:pPr>
        <w:jc w:val="both"/>
        <w:rPr>
          <w:rFonts w:cs="Times New Roman"/>
          <w:color w:val="000000" w:themeColor="text1"/>
        </w:rPr>
      </w:pPr>
      <w:r>
        <w:rPr>
          <w:rFonts w:cs="Times New Roman"/>
          <w:color w:val="000000" w:themeColor="text1"/>
        </w:rPr>
        <w:t>The above</w:t>
      </w:r>
      <w:r w:rsidR="007536EB" w:rsidRPr="00826E36">
        <w:rPr>
          <w:rFonts w:cs="Times New Roman"/>
          <w:color w:val="000000" w:themeColor="text1"/>
        </w:rPr>
        <w:t xml:space="preserve"> an important narrative and is given as background to the oil price expectations in</w:t>
      </w:r>
      <w:r w:rsidR="00474912">
        <w:rPr>
          <w:rFonts w:cs="Times New Roman"/>
          <w:color w:val="000000" w:themeColor="text1"/>
        </w:rPr>
        <w:t>vestigated in the research described above</w:t>
      </w:r>
      <w:r w:rsidR="007536EB" w:rsidRPr="00826E36">
        <w:rPr>
          <w:rFonts w:cs="Times New Roman"/>
          <w:color w:val="000000" w:themeColor="text1"/>
        </w:rPr>
        <w:t xml:space="preserve">. For </w:t>
      </w:r>
      <w:r w:rsidR="004B69A6">
        <w:rPr>
          <w:rFonts w:cs="Times New Roman"/>
          <w:color w:val="000000" w:themeColor="text1"/>
        </w:rPr>
        <w:t xml:space="preserve">further </w:t>
      </w:r>
      <w:r w:rsidR="007536EB" w:rsidRPr="00826E36">
        <w:rPr>
          <w:rFonts w:cs="Times New Roman"/>
          <w:color w:val="000000" w:themeColor="text1"/>
        </w:rPr>
        <w:t>detail on these changes in oil price, and the public expectations of price, s</w:t>
      </w:r>
      <w:r w:rsidR="00474912">
        <w:rPr>
          <w:rFonts w:cs="Times New Roman"/>
          <w:color w:val="000000" w:themeColor="text1"/>
        </w:rPr>
        <w:t xml:space="preserve">ee </w:t>
      </w:r>
      <w:r w:rsidR="00474912" w:rsidRPr="00D9254F">
        <w:rPr>
          <w:rFonts w:cs="Times New Roman"/>
          <w:color w:val="000000" w:themeColor="text1"/>
        </w:rPr>
        <w:t xml:space="preserve">Bentley &amp; Bentley (2015a, </w:t>
      </w:r>
      <w:r w:rsidR="00B15FCA" w:rsidRPr="00D9254F">
        <w:rPr>
          <w:rFonts w:cs="Times New Roman"/>
          <w:color w:val="000000" w:themeColor="text1"/>
        </w:rPr>
        <w:t>201</w:t>
      </w:r>
      <w:r w:rsidR="007536EB" w:rsidRPr="00D9254F">
        <w:rPr>
          <w:rFonts w:cs="Times New Roman"/>
          <w:color w:val="000000" w:themeColor="text1"/>
        </w:rPr>
        <w:t>5b),</w:t>
      </w:r>
      <w:r w:rsidR="00474912" w:rsidRPr="00D9254F">
        <w:rPr>
          <w:rFonts w:cs="Times New Roman"/>
          <w:color w:val="000000" w:themeColor="text1"/>
        </w:rPr>
        <w:t xml:space="preserve"> Campbell </w:t>
      </w:r>
      <w:r w:rsidR="00474912">
        <w:rPr>
          <w:rFonts w:cs="Times New Roman"/>
          <w:color w:val="000000" w:themeColor="text1"/>
        </w:rPr>
        <w:t xml:space="preserve">and Bentley (2016), </w:t>
      </w:r>
      <w:r w:rsidR="007536EB" w:rsidRPr="00826E36">
        <w:rPr>
          <w:rFonts w:cs="Times New Roman"/>
          <w:color w:val="000000" w:themeColor="text1"/>
        </w:rPr>
        <w:t>Bentley (2016), and Inman (2016).</w:t>
      </w:r>
    </w:p>
    <w:sectPr w:rsidR="00E428A4" w:rsidRPr="00E428A4" w:rsidSect="00D2637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2ECF5" w14:textId="77777777" w:rsidR="00F37815" w:rsidRDefault="00F37815" w:rsidP="00DA50D6">
      <w:r>
        <w:separator/>
      </w:r>
    </w:p>
  </w:endnote>
  <w:endnote w:type="continuationSeparator" w:id="0">
    <w:p w14:paraId="3AF22359" w14:textId="77777777" w:rsidR="00F37815" w:rsidRDefault="00F37815" w:rsidP="00DA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155145"/>
      <w:docPartObj>
        <w:docPartGallery w:val="Page Numbers (Bottom of Page)"/>
        <w:docPartUnique/>
      </w:docPartObj>
    </w:sdtPr>
    <w:sdtEndPr>
      <w:rPr>
        <w:noProof/>
      </w:rPr>
    </w:sdtEndPr>
    <w:sdtContent>
      <w:p w14:paraId="48915A48" w14:textId="307FB461" w:rsidR="00314B84" w:rsidRDefault="00314B84">
        <w:pPr>
          <w:pStyle w:val="Footer"/>
          <w:jc w:val="right"/>
        </w:pPr>
        <w:r>
          <w:fldChar w:fldCharType="begin"/>
        </w:r>
        <w:r>
          <w:instrText xml:space="preserve"> PAGE   \* MERGEFORMAT </w:instrText>
        </w:r>
        <w:r>
          <w:fldChar w:fldCharType="separate"/>
        </w:r>
        <w:r w:rsidR="00D26378">
          <w:rPr>
            <w:noProof/>
          </w:rPr>
          <w:t>5</w:t>
        </w:r>
        <w:r>
          <w:rPr>
            <w:noProof/>
          </w:rPr>
          <w:fldChar w:fldCharType="end"/>
        </w:r>
      </w:p>
    </w:sdtContent>
  </w:sdt>
  <w:p w14:paraId="0B41643C" w14:textId="77777777" w:rsidR="00314B84" w:rsidRDefault="00314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2EB95" w14:textId="77777777" w:rsidR="00F37815" w:rsidRDefault="00F37815" w:rsidP="00DA50D6">
      <w:r>
        <w:separator/>
      </w:r>
    </w:p>
  </w:footnote>
  <w:footnote w:type="continuationSeparator" w:id="0">
    <w:p w14:paraId="551A0A76" w14:textId="77777777" w:rsidR="00F37815" w:rsidRDefault="00F37815" w:rsidP="00DA5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B123" w14:textId="30F30E0A" w:rsidR="00314B84" w:rsidRDefault="00314B84">
    <w:pPr>
      <w:pStyle w:val="Header"/>
      <w:jc w:val="right"/>
    </w:pPr>
  </w:p>
  <w:p w14:paraId="5B529A7F" w14:textId="77777777" w:rsidR="00314B84" w:rsidRDefault="00314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74D"/>
    <w:multiLevelType w:val="hybridMultilevel"/>
    <w:tmpl w:val="C2A0E8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97023"/>
    <w:multiLevelType w:val="hybridMultilevel"/>
    <w:tmpl w:val="A0AA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225F4"/>
    <w:multiLevelType w:val="hybridMultilevel"/>
    <w:tmpl w:val="51E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D40EF"/>
    <w:multiLevelType w:val="hybridMultilevel"/>
    <w:tmpl w:val="A986FB04"/>
    <w:lvl w:ilvl="0" w:tplc="08090001">
      <w:start w:val="1"/>
      <w:numFmt w:val="bullet"/>
      <w:lvlText w:val=""/>
      <w:lvlJc w:val="left"/>
      <w:pPr>
        <w:ind w:left="2344" w:hanging="360"/>
      </w:pPr>
      <w:rPr>
        <w:rFonts w:ascii="Symbol" w:hAnsi="Symbol" w:hint="default"/>
      </w:rPr>
    </w:lvl>
    <w:lvl w:ilvl="1" w:tplc="08090003" w:tentative="1">
      <w:start w:val="1"/>
      <w:numFmt w:val="bullet"/>
      <w:lvlText w:val="o"/>
      <w:lvlJc w:val="left"/>
      <w:pPr>
        <w:ind w:left="3064" w:hanging="360"/>
      </w:pPr>
      <w:rPr>
        <w:rFonts w:ascii="Courier New" w:hAnsi="Courier New" w:cs="Courier New" w:hint="default"/>
      </w:rPr>
    </w:lvl>
    <w:lvl w:ilvl="2" w:tplc="08090005" w:tentative="1">
      <w:start w:val="1"/>
      <w:numFmt w:val="bullet"/>
      <w:lvlText w:val=""/>
      <w:lvlJc w:val="left"/>
      <w:pPr>
        <w:ind w:left="3784" w:hanging="360"/>
      </w:pPr>
      <w:rPr>
        <w:rFonts w:ascii="Wingdings" w:hAnsi="Wingdings" w:hint="default"/>
      </w:rPr>
    </w:lvl>
    <w:lvl w:ilvl="3" w:tplc="08090001" w:tentative="1">
      <w:start w:val="1"/>
      <w:numFmt w:val="bullet"/>
      <w:lvlText w:val=""/>
      <w:lvlJc w:val="left"/>
      <w:pPr>
        <w:ind w:left="4504" w:hanging="360"/>
      </w:pPr>
      <w:rPr>
        <w:rFonts w:ascii="Symbol" w:hAnsi="Symbol" w:hint="default"/>
      </w:rPr>
    </w:lvl>
    <w:lvl w:ilvl="4" w:tplc="08090003" w:tentative="1">
      <w:start w:val="1"/>
      <w:numFmt w:val="bullet"/>
      <w:lvlText w:val="o"/>
      <w:lvlJc w:val="left"/>
      <w:pPr>
        <w:ind w:left="5224" w:hanging="360"/>
      </w:pPr>
      <w:rPr>
        <w:rFonts w:ascii="Courier New" w:hAnsi="Courier New" w:cs="Courier New" w:hint="default"/>
      </w:rPr>
    </w:lvl>
    <w:lvl w:ilvl="5" w:tplc="08090005" w:tentative="1">
      <w:start w:val="1"/>
      <w:numFmt w:val="bullet"/>
      <w:lvlText w:val=""/>
      <w:lvlJc w:val="left"/>
      <w:pPr>
        <w:ind w:left="5944" w:hanging="360"/>
      </w:pPr>
      <w:rPr>
        <w:rFonts w:ascii="Wingdings" w:hAnsi="Wingdings" w:hint="default"/>
      </w:rPr>
    </w:lvl>
    <w:lvl w:ilvl="6" w:tplc="08090001" w:tentative="1">
      <w:start w:val="1"/>
      <w:numFmt w:val="bullet"/>
      <w:lvlText w:val=""/>
      <w:lvlJc w:val="left"/>
      <w:pPr>
        <w:ind w:left="6664" w:hanging="360"/>
      </w:pPr>
      <w:rPr>
        <w:rFonts w:ascii="Symbol" w:hAnsi="Symbol" w:hint="default"/>
      </w:rPr>
    </w:lvl>
    <w:lvl w:ilvl="7" w:tplc="08090003" w:tentative="1">
      <w:start w:val="1"/>
      <w:numFmt w:val="bullet"/>
      <w:lvlText w:val="o"/>
      <w:lvlJc w:val="left"/>
      <w:pPr>
        <w:ind w:left="7384" w:hanging="360"/>
      </w:pPr>
      <w:rPr>
        <w:rFonts w:ascii="Courier New" w:hAnsi="Courier New" w:cs="Courier New" w:hint="default"/>
      </w:rPr>
    </w:lvl>
    <w:lvl w:ilvl="8" w:tplc="08090005" w:tentative="1">
      <w:start w:val="1"/>
      <w:numFmt w:val="bullet"/>
      <w:lvlText w:val=""/>
      <w:lvlJc w:val="left"/>
      <w:pPr>
        <w:ind w:left="8104" w:hanging="360"/>
      </w:pPr>
      <w:rPr>
        <w:rFonts w:ascii="Wingdings" w:hAnsi="Wingdings" w:hint="default"/>
      </w:rPr>
    </w:lvl>
  </w:abstractNum>
  <w:abstractNum w:abstractNumId="4" w15:restartNumberingAfterBreak="0">
    <w:nsid w:val="19853C46"/>
    <w:multiLevelType w:val="hybridMultilevel"/>
    <w:tmpl w:val="331660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A4534"/>
    <w:multiLevelType w:val="hybridMultilevel"/>
    <w:tmpl w:val="2B886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E94EB9"/>
    <w:multiLevelType w:val="hybridMultilevel"/>
    <w:tmpl w:val="A2700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D220D"/>
    <w:multiLevelType w:val="hybridMultilevel"/>
    <w:tmpl w:val="F1B66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444BE"/>
    <w:multiLevelType w:val="hybridMultilevel"/>
    <w:tmpl w:val="F78E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E0FC5"/>
    <w:multiLevelType w:val="hybridMultilevel"/>
    <w:tmpl w:val="7CE8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02D07"/>
    <w:multiLevelType w:val="hybridMultilevel"/>
    <w:tmpl w:val="68502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175278"/>
    <w:multiLevelType w:val="hybridMultilevel"/>
    <w:tmpl w:val="09267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A230A"/>
    <w:multiLevelType w:val="hybridMultilevel"/>
    <w:tmpl w:val="D7C6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C41DD"/>
    <w:multiLevelType w:val="hybridMultilevel"/>
    <w:tmpl w:val="E30E42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3259D"/>
    <w:multiLevelType w:val="hybridMultilevel"/>
    <w:tmpl w:val="78188F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10D43"/>
    <w:multiLevelType w:val="hybridMultilevel"/>
    <w:tmpl w:val="B7CECE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5592D"/>
    <w:multiLevelType w:val="hybridMultilevel"/>
    <w:tmpl w:val="ACE6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82F19"/>
    <w:multiLevelType w:val="hybridMultilevel"/>
    <w:tmpl w:val="0C8E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7263F"/>
    <w:multiLevelType w:val="hybridMultilevel"/>
    <w:tmpl w:val="F86AC252"/>
    <w:lvl w:ilvl="0" w:tplc="08090019">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2F1527"/>
    <w:multiLevelType w:val="hybridMultilevel"/>
    <w:tmpl w:val="7CA2B77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0" w15:restartNumberingAfterBreak="0">
    <w:nsid w:val="50B61C8B"/>
    <w:multiLevelType w:val="hybridMultilevel"/>
    <w:tmpl w:val="44EA5272"/>
    <w:lvl w:ilvl="0" w:tplc="8378279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1A2A72"/>
    <w:multiLevelType w:val="hybridMultilevel"/>
    <w:tmpl w:val="0978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82095"/>
    <w:multiLevelType w:val="hybridMultilevel"/>
    <w:tmpl w:val="599C444C"/>
    <w:lvl w:ilvl="0" w:tplc="E0CA68D0">
      <w:numFmt w:val="bullet"/>
      <w:lvlText w:val="-"/>
      <w:lvlJc w:val="left"/>
      <w:pPr>
        <w:ind w:left="504" w:hanging="360"/>
      </w:pPr>
      <w:rPr>
        <w:rFonts w:ascii="Calibri" w:eastAsiaTheme="minorHAnsi" w:hAnsi="Calibri" w:cs="Times New Roman"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3" w15:restartNumberingAfterBreak="0">
    <w:nsid w:val="596C4499"/>
    <w:multiLevelType w:val="hybridMultilevel"/>
    <w:tmpl w:val="A872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22278"/>
    <w:multiLevelType w:val="hybridMultilevel"/>
    <w:tmpl w:val="2FE6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4708A"/>
    <w:multiLevelType w:val="hybridMultilevel"/>
    <w:tmpl w:val="4C84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63729"/>
    <w:multiLevelType w:val="hybridMultilevel"/>
    <w:tmpl w:val="0FB6FFEE"/>
    <w:lvl w:ilvl="0" w:tplc="F31AB2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D66C23"/>
    <w:multiLevelType w:val="hybridMultilevel"/>
    <w:tmpl w:val="DBC6DE1C"/>
    <w:lvl w:ilvl="0" w:tplc="4F4A5F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1730A9"/>
    <w:multiLevelType w:val="hybridMultilevel"/>
    <w:tmpl w:val="3D0EC382"/>
    <w:lvl w:ilvl="0" w:tplc="08090001">
      <w:start w:val="1"/>
      <w:numFmt w:val="bullet"/>
      <w:lvlText w:val=""/>
      <w:lvlJc w:val="left"/>
      <w:pPr>
        <w:ind w:left="720" w:hanging="360"/>
      </w:pPr>
      <w:rPr>
        <w:rFonts w:ascii="Symbol" w:hAnsi="Symbol" w:hint="default"/>
      </w:rPr>
    </w:lvl>
    <w:lvl w:ilvl="1" w:tplc="01B27E0A">
      <w:start w:val="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5010CB"/>
    <w:multiLevelType w:val="hybridMultilevel"/>
    <w:tmpl w:val="DCE6019C"/>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900734"/>
    <w:multiLevelType w:val="hybridMultilevel"/>
    <w:tmpl w:val="1E0A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A551D"/>
    <w:multiLevelType w:val="hybridMultilevel"/>
    <w:tmpl w:val="0C5C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42F68"/>
    <w:multiLevelType w:val="hybridMultilevel"/>
    <w:tmpl w:val="8D22C25C"/>
    <w:lvl w:ilvl="0" w:tplc="30627ED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3" w15:restartNumberingAfterBreak="0">
    <w:nsid w:val="70275507"/>
    <w:multiLevelType w:val="hybridMultilevel"/>
    <w:tmpl w:val="1E945A56"/>
    <w:lvl w:ilvl="0" w:tplc="2CC2897E">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F702B0"/>
    <w:multiLevelType w:val="hybridMultilevel"/>
    <w:tmpl w:val="85360FDA"/>
    <w:lvl w:ilvl="0" w:tplc="E0CA68D0">
      <w:numFmt w:val="bullet"/>
      <w:lvlText w:val="-"/>
      <w:lvlJc w:val="left"/>
      <w:pPr>
        <w:ind w:left="648" w:hanging="360"/>
      </w:pPr>
      <w:rPr>
        <w:rFonts w:ascii="Calibri" w:eastAsiaTheme="minorHAnsi" w:hAnsi="Calibri" w:cs="Times New Roman"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5" w15:restartNumberingAfterBreak="0">
    <w:nsid w:val="73F4270F"/>
    <w:multiLevelType w:val="hybridMultilevel"/>
    <w:tmpl w:val="677A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41C53"/>
    <w:multiLevelType w:val="hybridMultilevel"/>
    <w:tmpl w:val="8B6A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774C25"/>
    <w:multiLevelType w:val="hybridMultilevel"/>
    <w:tmpl w:val="DD1E7E3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8" w15:restartNumberingAfterBreak="0">
    <w:nsid w:val="74A77DA0"/>
    <w:multiLevelType w:val="hybridMultilevel"/>
    <w:tmpl w:val="9BB8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A4DB7"/>
    <w:multiLevelType w:val="hybridMultilevel"/>
    <w:tmpl w:val="61C4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C7F2F"/>
    <w:multiLevelType w:val="hybridMultilevel"/>
    <w:tmpl w:val="0122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854BFA"/>
    <w:multiLevelType w:val="hybridMultilevel"/>
    <w:tmpl w:val="18DE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054404"/>
    <w:multiLevelType w:val="hybridMultilevel"/>
    <w:tmpl w:val="2D78D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4"/>
  </w:num>
  <w:num w:numId="4">
    <w:abstractNumId w:val="13"/>
  </w:num>
  <w:num w:numId="5">
    <w:abstractNumId w:val="0"/>
  </w:num>
  <w:num w:numId="6">
    <w:abstractNumId w:val="15"/>
  </w:num>
  <w:num w:numId="7">
    <w:abstractNumId w:val="14"/>
  </w:num>
  <w:num w:numId="8">
    <w:abstractNumId w:val="29"/>
  </w:num>
  <w:num w:numId="9">
    <w:abstractNumId w:val="18"/>
  </w:num>
  <w:num w:numId="10">
    <w:abstractNumId w:val="41"/>
  </w:num>
  <w:num w:numId="11">
    <w:abstractNumId w:val="12"/>
  </w:num>
  <w:num w:numId="12">
    <w:abstractNumId w:val="11"/>
  </w:num>
  <w:num w:numId="13">
    <w:abstractNumId w:val="42"/>
  </w:num>
  <w:num w:numId="14">
    <w:abstractNumId w:val="21"/>
  </w:num>
  <w:num w:numId="15">
    <w:abstractNumId w:val="40"/>
  </w:num>
  <w:num w:numId="16">
    <w:abstractNumId w:val="39"/>
  </w:num>
  <w:num w:numId="17">
    <w:abstractNumId w:val="36"/>
  </w:num>
  <w:num w:numId="18">
    <w:abstractNumId w:val="28"/>
  </w:num>
  <w:num w:numId="19">
    <w:abstractNumId w:val="6"/>
  </w:num>
  <w:num w:numId="20">
    <w:abstractNumId w:val="3"/>
  </w:num>
  <w:num w:numId="21">
    <w:abstractNumId w:val="5"/>
  </w:num>
  <w:num w:numId="22">
    <w:abstractNumId w:val="35"/>
  </w:num>
  <w:num w:numId="23">
    <w:abstractNumId w:val="22"/>
  </w:num>
  <w:num w:numId="24">
    <w:abstractNumId w:val="34"/>
  </w:num>
  <w:num w:numId="25">
    <w:abstractNumId w:val="19"/>
  </w:num>
  <w:num w:numId="26">
    <w:abstractNumId w:val="25"/>
  </w:num>
  <w:num w:numId="27">
    <w:abstractNumId w:val="23"/>
  </w:num>
  <w:num w:numId="28">
    <w:abstractNumId w:val="31"/>
  </w:num>
  <w:num w:numId="29">
    <w:abstractNumId w:val="8"/>
  </w:num>
  <w:num w:numId="30">
    <w:abstractNumId w:val="1"/>
  </w:num>
  <w:num w:numId="31">
    <w:abstractNumId w:val="38"/>
  </w:num>
  <w:num w:numId="32">
    <w:abstractNumId w:val="24"/>
  </w:num>
  <w:num w:numId="33">
    <w:abstractNumId w:val="9"/>
  </w:num>
  <w:num w:numId="34">
    <w:abstractNumId w:val="33"/>
  </w:num>
  <w:num w:numId="35">
    <w:abstractNumId w:val="10"/>
  </w:num>
  <w:num w:numId="36">
    <w:abstractNumId w:val="2"/>
  </w:num>
  <w:num w:numId="37">
    <w:abstractNumId w:val="37"/>
  </w:num>
  <w:num w:numId="38">
    <w:abstractNumId w:val="27"/>
  </w:num>
  <w:num w:numId="39">
    <w:abstractNumId w:val="32"/>
  </w:num>
  <w:num w:numId="40">
    <w:abstractNumId w:val="7"/>
  </w:num>
  <w:num w:numId="41">
    <w:abstractNumId w:val="20"/>
  </w:num>
  <w:num w:numId="42">
    <w:abstractNumId w:val="3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FE"/>
    <w:rsid w:val="00000655"/>
    <w:rsid w:val="00003B9B"/>
    <w:rsid w:val="00006C01"/>
    <w:rsid w:val="00006DD7"/>
    <w:rsid w:val="00012DCB"/>
    <w:rsid w:val="00016E44"/>
    <w:rsid w:val="000238E2"/>
    <w:rsid w:val="00023F50"/>
    <w:rsid w:val="00024B80"/>
    <w:rsid w:val="00024EA8"/>
    <w:rsid w:val="000306EF"/>
    <w:rsid w:val="00030A97"/>
    <w:rsid w:val="00030AFF"/>
    <w:rsid w:val="00031ABD"/>
    <w:rsid w:val="000407D2"/>
    <w:rsid w:val="00041043"/>
    <w:rsid w:val="0004149F"/>
    <w:rsid w:val="0004176C"/>
    <w:rsid w:val="00043E20"/>
    <w:rsid w:val="0004518F"/>
    <w:rsid w:val="000474FA"/>
    <w:rsid w:val="00050B23"/>
    <w:rsid w:val="0005615A"/>
    <w:rsid w:val="00062B1E"/>
    <w:rsid w:val="000633FA"/>
    <w:rsid w:val="000636AA"/>
    <w:rsid w:val="000650C7"/>
    <w:rsid w:val="00065132"/>
    <w:rsid w:val="00065714"/>
    <w:rsid w:val="00065A78"/>
    <w:rsid w:val="000730B8"/>
    <w:rsid w:val="0007629C"/>
    <w:rsid w:val="00080A06"/>
    <w:rsid w:val="00081D81"/>
    <w:rsid w:val="0008637D"/>
    <w:rsid w:val="000912BA"/>
    <w:rsid w:val="00091CB6"/>
    <w:rsid w:val="0009501B"/>
    <w:rsid w:val="000A352B"/>
    <w:rsid w:val="000A6F95"/>
    <w:rsid w:val="000A7D13"/>
    <w:rsid w:val="000B3929"/>
    <w:rsid w:val="000B5595"/>
    <w:rsid w:val="000B6217"/>
    <w:rsid w:val="000B6BE7"/>
    <w:rsid w:val="000B6EC2"/>
    <w:rsid w:val="000C182F"/>
    <w:rsid w:val="000C4B9F"/>
    <w:rsid w:val="000C4ED7"/>
    <w:rsid w:val="000C5358"/>
    <w:rsid w:val="000D1EB8"/>
    <w:rsid w:val="000D5981"/>
    <w:rsid w:val="000D5EDD"/>
    <w:rsid w:val="000D6AD9"/>
    <w:rsid w:val="000E3DFD"/>
    <w:rsid w:val="000E66EF"/>
    <w:rsid w:val="000E74AA"/>
    <w:rsid w:val="000E7BD3"/>
    <w:rsid w:val="000F1215"/>
    <w:rsid w:val="0010143A"/>
    <w:rsid w:val="00101981"/>
    <w:rsid w:val="00103CEF"/>
    <w:rsid w:val="00106ECD"/>
    <w:rsid w:val="001112ED"/>
    <w:rsid w:val="00115FDC"/>
    <w:rsid w:val="00116300"/>
    <w:rsid w:val="0012143E"/>
    <w:rsid w:val="00122AFE"/>
    <w:rsid w:val="00124F87"/>
    <w:rsid w:val="00125ADC"/>
    <w:rsid w:val="00126B8F"/>
    <w:rsid w:val="001275F6"/>
    <w:rsid w:val="001302E1"/>
    <w:rsid w:val="00131597"/>
    <w:rsid w:val="0013510F"/>
    <w:rsid w:val="001403B0"/>
    <w:rsid w:val="00141228"/>
    <w:rsid w:val="00142624"/>
    <w:rsid w:val="001453B5"/>
    <w:rsid w:val="00145C17"/>
    <w:rsid w:val="00152BFD"/>
    <w:rsid w:val="00153434"/>
    <w:rsid w:val="00155A29"/>
    <w:rsid w:val="00156DF1"/>
    <w:rsid w:val="00157D6A"/>
    <w:rsid w:val="001611DC"/>
    <w:rsid w:val="00167916"/>
    <w:rsid w:val="00167DAE"/>
    <w:rsid w:val="001767D6"/>
    <w:rsid w:val="00180AFF"/>
    <w:rsid w:val="00184B91"/>
    <w:rsid w:val="00186CC1"/>
    <w:rsid w:val="00194092"/>
    <w:rsid w:val="001944AA"/>
    <w:rsid w:val="001961EB"/>
    <w:rsid w:val="00197016"/>
    <w:rsid w:val="001A1565"/>
    <w:rsid w:val="001A43F5"/>
    <w:rsid w:val="001B2B03"/>
    <w:rsid w:val="001B35EE"/>
    <w:rsid w:val="001B58C8"/>
    <w:rsid w:val="001B5927"/>
    <w:rsid w:val="001B6173"/>
    <w:rsid w:val="001B6965"/>
    <w:rsid w:val="001C05B5"/>
    <w:rsid w:val="001C0A4C"/>
    <w:rsid w:val="001C0F63"/>
    <w:rsid w:val="001C2470"/>
    <w:rsid w:val="001C56D9"/>
    <w:rsid w:val="001C59B3"/>
    <w:rsid w:val="001D0605"/>
    <w:rsid w:val="001D07B7"/>
    <w:rsid w:val="001D0C22"/>
    <w:rsid w:val="001D1DF2"/>
    <w:rsid w:val="001D355B"/>
    <w:rsid w:val="001E157D"/>
    <w:rsid w:val="001E25BC"/>
    <w:rsid w:val="001E714E"/>
    <w:rsid w:val="001F2BF8"/>
    <w:rsid w:val="001F7BAA"/>
    <w:rsid w:val="001F7F43"/>
    <w:rsid w:val="002056DC"/>
    <w:rsid w:val="00210118"/>
    <w:rsid w:val="00220136"/>
    <w:rsid w:val="00221123"/>
    <w:rsid w:val="00223913"/>
    <w:rsid w:val="0022449E"/>
    <w:rsid w:val="00226B38"/>
    <w:rsid w:val="0023057A"/>
    <w:rsid w:val="002328B2"/>
    <w:rsid w:val="00232CB8"/>
    <w:rsid w:val="002357CE"/>
    <w:rsid w:val="00241377"/>
    <w:rsid w:val="0024228B"/>
    <w:rsid w:val="0024414A"/>
    <w:rsid w:val="002448FA"/>
    <w:rsid w:val="002454FF"/>
    <w:rsid w:val="00246E70"/>
    <w:rsid w:val="00246E9D"/>
    <w:rsid w:val="0026055F"/>
    <w:rsid w:val="0026243E"/>
    <w:rsid w:val="0026260B"/>
    <w:rsid w:val="0026276A"/>
    <w:rsid w:val="00266853"/>
    <w:rsid w:val="002670CD"/>
    <w:rsid w:val="00270061"/>
    <w:rsid w:val="00272A0D"/>
    <w:rsid w:val="00273D61"/>
    <w:rsid w:val="002748E9"/>
    <w:rsid w:val="00277701"/>
    <w:rsid w:val="0028101C"/>
    <w:rsid w:val="00282D9D"/>
    <w:rsid w:val="002833E0"/>
    <w:rsid w:val="00284686"/>
    <w:rsid w:val="002856FC"/>
    <w:rsid w:val="002910B8"/>
    <w:rsid w:val="0029267A"/>
    <w:rsid w:val="00293A6E"/>
    <w:rsid w:val="00294B86"/>
    <w:rsid w:val="00294C45"/>
    <w:rsid w:val="0029682E"/>
    <w:rsid w:val="00296EC3"/>
    <w:rsid w:val="002A1F3B"/>
    <w:rsid w:val="002A2AFD"/>
    <w:rsid w:val="002A6C72"/>
    <w:rsid w:val="002B2029"/>
    <w:rsid w:val="002B44BD"/>
    <w:rsid w:val="002B556E"/>
    <w:rsid w:val="002B75E2"/>
    <w:rsid w:val="002B7898"/>
    <w:rsid w:val="002C023A"/>
    <w:rsid w:val="002C34CF"/>
    <w:rsid w:val="002C73B4"/>
    <w:rsid w:val="002D495B"/>
    <w:rsid w:val="002D4C6B"/>
    <w:rsid w:val="002D5618"/>
    <w:rsid w:val="002E13B0"/>
    <w:rsid w:val="002E3046"/>
    <w:rsid w:val="002E4E98"/>
    <w:rsid w:val="002E6B4B"/>
    <w:rsid w:val="002E763E"/>
    <w:rsid w:val="002F2001"/>
    <w:rsid w:val="002F202D"/>
    <w:rsid w:val="002F5AAD"/>
    <w:rsid w:val="002F6877"/>
    <w:rsid w:val="00300858"/>
    <w:rsid w:val="00300F2F"/>
    <w:rsid w:val="00307131"/>
    <w:rsid w:val="00310E2B"/>
    <w:rsid w:val="00311F09"/>
    <w:rsid w:val="00314B84"/>
    <w:rsid w:val="00317AA4"/>
    <w:rsid w:val="00320C26"/>
    <w:rsid w:val="00321B7A"/>
    <w:rsid w:val="003241F5"/>
    <w:rsid w:val="003243A2"/>
    <w:rsid w:val="00330F6F"/>
    <w:rsid w:val="00331FB5"/>
    <w:rsid w:val="00335DD3"/>
    <w:rsid w:val="00336AA4"/>
    <w:rsid w:val="0034223E"/>
    <w:rsid w:val="00343B28"/>
    <w:rsid w:val="00347533"/>
    <w:rsid w:val="00347CB0"/>
    <w:rsid w:val="00351C0E"/>
    <w:rsid w:val="00352BCE"/>
    <w:rsid w:val="0035371D"/>
    <w:rsid w:val="00353F7B"/>
    <w:rsid w:val="00360033"/>
    <w:rsid w:val="0036641E"/>
    <w:rsid w:val="00366D4E"/>
    <w:rsid w:val="00366D72"/>
    <w:rsid w:val="003675D9"/>
    <w:rsid w:val="00371139"/>
    <w:rsid w:val="00371495"/>
    <w:rsid w:val="00374DB3"/>
    <w:rsid w:val="00375C4C"/>
    <w:rsid w:val="003768B8"/>
    <w:rsid w:val="003775CC"/>
    <w:rsid w:val="003810F9"/>
    <w:rsid w:val="00381B95"/>
    <w:rsid w:val="00382CE1"/>
    <w:rsid w:val="00382DFC"/>
    <w:rsid w:val="00383AD1"/>
    <w:rsid w:val="003943E2"/>
    <w:rsid w:val="003969E2"/>
    <w:rsid w:val="00397A37"/>
    <w:rsid w:val="003A4EDD"/>
    <w:rsid w:val="003A5EA4"/>
    <w:rsid w:val="003B07AB"/>
    <w:rsid w:val="003B4682"/>
    <w:rsid w:val="003B5B4D"/>
    <w:rsid w:val="003C1358"/>
    <w:rsid w:val="003C1EA4"/>
    <w:rsid w:val="003C7EDD"/>
    <w:rsid w:val="003D13B3"/>
    <w:rsid w:val="003D1BF5"/>
    <w:rsid w:val="003D5D8E"/>
    <w:rsid w:val="003D7998"/>
    <w:rsid w:val="003E4C37"/>
    <w:rsid w:val="003F311B"/>
    <w:rsid w:val="003F48B9"/>
    <w:rsid w:val="003F4A0B"/>
    <w:rsid w:val="00400544"/>
    <w:rsid w:val="004021B9"/>
    <w:rsid w:val="0040468F"/>
    <w:rsid w:val="00422FD9"/>
    <w:rsid w:val="00424055"/>
    <w:rsid w:val="00426BD3"/>
    <w:rsid w:val="00426C08"/>
    <w:rsid w:val="0043131A"/>
    <w:rsid w:val="00431959"/>
    <w:rsid w:val="004327AA"/>
    <w:rsid w:val="00434571"/>
    <w:rsid w:val="00436614"/>
    <w:rsid w:val="00437A85"/>
    <w:rsid w:val="00440FA1"/>
    <w:rsid w:val="004422D7"/>
    <w:rsid w:val="004432F9"/>
    <w:rsid w:val="00446769"/>
    <w:rsid w:val="00452CC6"/>
    <w:rsid w:val="00453857"/>
    <w:rsid w:val="00454CFC"/>
    <w:rsid w:val="004575F4"/>
    <w:rsid w:val="00462558"/>
    <w:rsid w:val="00463431"/>
    <w:rsid w:val="00472202"/>
    <w:rsid w:val="00474912"/>
    <w:rsid w:val="004760D4"/>
    <w:rsid w:val="00480676"/>
    <w:rsid w:val="00490DA7"/>
    <w:rsid w:val="00494153"/>
    <w:rsid w:val="00496D0A"/>
    <w:rsid w:val="00497C3A"/>
    <w:rsid w:val="00497DFB"/>
    <w:rsid w:val="004A1513"/>
    <w:rsid w:val="004A1EA1"/>
    <w:rsid w:val="004A3F5A"/>
    <w:rsid w:val="004A73C3"/>
    <w:rsid w:val="004B26C3"/>
    <w:rsid w:val="004B2DD6"/>
    <w:rsid w:val="004B69A6"/>
    <w:rsid w:val="004C0C67"/>
    <w:rsid w:val="004C7675"/>
    <w:rsid w:val="004C7DE9"/>
    <w:rsid w:val="004D40E0"/>
    <w:rsid w:val="004E05E4"/>
    <w:rsid w:val="004E0BFF"/>
    <w:rsid w:val="004E0C49"/>
    <w:rsid w:val="004E16C3"/>
    <w:rsid w:val="004E1949"/>
    <w:rsid w:val="004E1CFE"/>
    <w:rsid w:val="004E3B5D"/>
    <w:rsid w:val="004E5A4E"/>
    <w:rsid w:val="004E746F"/>
    <w:rsid w:val="004E76AE"/>
    <w:rsid w:val="004E7A5D"/>
    <w:rsid w:val="004F071E"/>
    <w:rsid w:val="004F3331"/>
    <w:rsid w:val="004F490A"/>
    <w:rsid w:val="004F6BD8"/>
    <w:rsid w:val="0050243F"/>
    <w:rsid w:val="0050249E"/>
    <w:rsid w:val="005051C6"/>
    <w:rsid w:val="005061D0"/>
    <w:rsid w:val="0050640E"/>
    <w:rsid w:val="00507B9A"/>
    <w:rsid w:val="00513486"/>
    <w:rsid w:val="00515DFE"/>
    <w:rsid w:val="00515F1E"/>
    <w:rsid w:val="005169C0"/>
    <w:rsid w:val="005219E6"/>
    <w:rsid w:val="005264EF"/>
    <w:rsid w:val="0052776E"/>
    <w:rsid w:val="00533470"/>
    <w:rsid w:val="005340A0"/>
    <w:rsid w:val="0053551B"/>
    <w:rsid w:val="005368E3"/>
    <w:rsid w:val="00544AEE"/>
    <w:rsid w:val="005517BA"/>
    <w:rsid w:val="005524BB"/>
    <w:rsid w:val="00553EA8"/>
    <w:rsid w:val="005543DE"/>
    <w:rsid w:val="00560D72"/>
    <w:rsid w:val="00560F44"/>
    <w:rsid w:val="00561DDD"/>
    <w:rsid w:val="00562FE7"/>
    <w:rsid w:val="00566983"/>
    <w:rsid w:val="00567663"/>
    <w:rsid w:val="0057052B"/>
    <w:rsid w:val="00571FB8"/>
    <w:rsid w:val="0057366C"/>
    <w:rsid w:val="0057526C"/>
    <w:rsid w:val="005752F5"/>
    <w:rsid w:val="005754DA"/>
    <w:rsid w:val="0057585A"/>
    <w:rsid w:val="00575EB2"/>
    <w:rsid w:val="00582966"/>
    <w:rsid w:val="00583883"/>
    <w:rsid w:val="00584815"/>
    <w:rsid w:val="0059149B"/>
    <w:rsid w:val="00593636"/>
    <w:rsid w:val="005A0700"/>
    <w:rsid w:val="005A0706"/>
    <w:rsid w:val="005A34D0"/>
    <w:rsid w:val="005A4CFC"/>
    <w:rsid w:val="005A5D6D"/>
    <w:rsid w:val="005B20AF"/>
    <w:rsid w:val="005B2979"/>
    <w:rsid w:val="005B3157"/>
    <w:rsid w:val="005B5139"/>
    <w:rsid w:val="005C0489"/>
    <w:rsid w:val="005C6957"/>
    <w:rsid w:val="005D0AC8"/>
    <w:rsid w:val="005D69FD"/>
    <w:rsid w:val="005D6EBF"/>
    <w:rsid w:val="005E11E6"/>
    <w:rsid w:val="005E2FD3"/>
    <w:rsid w:val="005E3522"/>
    <w:rsid w:val="005E6DD4"/>
    <w:rsid w:val="005E7F78"/>
    <w:rsid w:val="005F4140"/>
    <w:rsid w:val="005F78DA"/>
    <w:rsid w:val="00600554"/>
    <w:rsid w:val="00600CCE"/>
    <w:rsid w:val="00601BA5"/>
    <w:rsid w:val="00603549"/>
    <w:rsid w:val="00604D3C"/>
    <w:rsid w:val="00606CCB"/>
    <w:rsid w:val="006112D5"/>
    <w:rsid w:val="006121B3"/>
    <w:rsid w:val="00612563"/>
    <w:rsid w:val="00613C3E"/>
    <w:rsid w:val="0061403A"/>
    <w:rsid w:val="006146AB"/>
    <w:rsid w:val="00616315"/>
    <w:rsid w:val="00617571"/>
    <w:rsid w:val="00617D57"/>
    <w:rsid w:val="00622275"/>
    <w:rsid w:val="006256E7"/>
    <w:rsid w:val="00626A8D"/>
    <w:rsid w:val="00626B5A"/>
    <w:rsid w:val="00633226"/>
    <w:rsid w:val="0063326C"/>
    <w:rsid w:val="00634720"/>
    <w:rsid w:val="00636CDA"/>
    <w:rsid w:val="00640790"/>
    <w:rsid w:val="00640D76"/>
    <w:rsid w:val="00642CE6"/>
    <w:rsid w:val="00647ED8"/>
    <w:rsid w:val="006509DF"/>
    <w:rsid w:val="006537D6"/>
    <w:rsid w:val="00653BC0"/>
    <w:rsid w:val="006555AF"/>
    <w:rsid w:val="00664B99"/>
    <w:rsid w:val="006677AE"/>
    <w:rsid w:val="0067082E"/>
    <w:rsid w:val="006713BF"/>
    <w:rsid w:val="006721F0"/>
    <w:rsid w:val="00674FC9"/>
    <w:rsid w:val="00677C66"/>
    <w:rsid w:val="00680E24"/>
    <w:rsid w:val="00686441"/>
    <w:rsid w:val="00687EF6"/>
    <w:rsid w:val="0069133C"/>
    <w:rsid w:val="0069146D"/>
    <w:rsid w:val="00696F9F"/>
    <w:rsid w:val="006A15D6"/>
    <w:rsid w:val="006A2486"/>
    <w:rsid w:val="006A2B45"/>
    <w:rsid w:val="006A4229"/>
    <w:rsid w:val="006A5157"/>
    <w:rsid w:val="006A69CE"/>
    <w:rsid w:val="006B03D8"/>
    <w:rsid w:val="006B4A09"/>
    <w:rsid w:val="006C0417"/>
    <w:rsid w:val="006C0A3D"/>
    <w:rsid w:val="006C42DE"/>
    <w:rsid w:val="006C6B2B"/>
    <w:rsid w:val="006D3379"/>
    <w:rsid w:val="006D34E5"/>
    <w:rsid w:val="006D4E3C"/>
    <w:rsid w:val="006E01AE"/>
    <w:rsid w:val="006E0569"/>
    <w:rsid w:val="006E7068"/>
    <w:rsid w:val="006F0202"/>
    <w:rsid w:val="006F4F92"/>
    <w:rsid w:val="006F5F5C"/>
    <w:rsid w:val="00701A1C"/>
    <w:rsid w:val="0070322B"/>
    <w:rsid w:val="00704938"/>
    <w:rsid w:val="0070648E"/>
    <w:rsid w:val="007072A0"/>
    <w:rsid w:val="00707E7B"/>
    <w:rsid w:val="00707EE4"/>
    <w:rsid w:val="007107A1"/>
    <w:rsid w:val="0071096B"/>
    <w:rsid w:val="00715664"/>
    <w:rsid w:val="007160D0"/>
    <w:rsid w:val="007178E0"/>
    <w:rsid w:val="0072442D"/>
    <w:rsid w:val="0072792B"/>
    <w:rsid w:val="00734FDA"/>
    <w:rsid w:val="0073620E"/>
    <w:rsid w:val="007400FC"/>
    <w:rsid w:val="00741429"/>
    <w:rsid w:val="00745D7B"/>
    <w:rsid w:val="0074740C"/>
    <w:rsid w:val="00747943"/>
    <w:rsid w:val="007536EB"/>
    <w:rsid w:val="00754B56"/>
    <w:rsid w:val="00755268"/>
    <w:rsid w:val="00757AC5"/>
    <w:rsid w:val="007605C5"/>
    <w:rsid w:val="00761A2E"/>
    <w:rsid w:val="00761C8E"/>
    <w:rsid w:val="007662A9"/>
    <w:rsid w:val="00767DA9"/>
    <w:rsid w:val="0077226D"/>
    <w:rsid w:val="00775245"/>
    <w:rsid w:val="00775355"/>
    <w:rsid w:val="00775637"/>
    <w:rsid w:val="00782399"/>
    <w:rsid w:val="0079073F"/>
    <w:rsid w:val="00795FC1"/>
    <w:rsid w:val="00797AB0"/>
    <w:rsid w:val="007A2160"/>
    <w:rsid w:val="007A2250"/>
    <w:rsid w:val="007A7196"/>
    <w:rsid w:val="007B1091"/>
    <w:rsid w:val="007B23BF"/>
    <w:rsid w:val="007B4895"/>
    <w:rsid w:val="007B569D"/>
    <w:rsid w:val="007C024A"/>
    <w:rsid w:val="007C441A"/>
    <w:rsid w:val="007C4DA1"/>
    <w:rsid w:val="007C5D88"/>
    <w:rsid w:val="007C7CBE"/>
    <w:rsid w:val="007D234F"/>
    <w:rsid w:val="007D5927"/>
    <w:rsid w:val="007E0736"/>
    <w:rsid w:val="007E121C"/>
    <w:rsid w:val="007E42F3"/>
    <w:rsid w:val="007E757A"/>
    <w:rsid w:val="007E77C7"/>
    <w:rsid w:val="007F4101"/>
    <w:rsid w:val="007F4A39"/>
    <w:rsid w:val="007F6ACB"/>
    <w:rsid w:val="00800DB2"/>
    <w:rsid w:val="008027BE"/>
    <w:rsid w:val="00804422"/>
    <w:rsid w:val="00804E8C"/>
    <w:rsid w:val="00810BFA"/>
    <w:rsid w:val="00812E11"/>
    <w:rsid w:val="008130D4"/>
    <w:rsid w:val="00813124"/>
    <w:rsid w:val="00823F94"/>
    <w:rsid w:val="00824BBC"/>
    <w:rsid w:val="0082669B"/>
    <w:rsid w:val="00826E36"/>
    <w:rsid w:val="0083132A"/>
    <w:rsid w:val="00831396"/>
    <w:rsid w:val="00833F90"/>
    <w:rsid w:val="00840B73"/>
    <w:rsid w:val="0084304A"/>
    <w:rsid w:val="00843829"/>
    <w:rsid w:val="0084448C"/>
    <w:rsid w:val="0084718B"/>
    <w:rsid w:val="008472C3"/>
    <w:rsid w:val="00847421"/>
    <w:rsid w:val="0085041F"/>
    <w:rsid w:val="008531E1"/>
    <w:rsid w:val="008545CF"/>
    <w:rsid w:val="00855EE1"/>
    <w:rsid w:val="008563DF"/>
    <w:rsid w:val="00857945"/>
    <w:rsid w:val="00860995"/>
    <w:rsid w:val="00860ABC"/>
    <w:rsid w:val="00864816"/>
    <w:rsid w:val="00864C48"/>
    <w:rsid w:val="008659AF"/>
    <w:rsid w:val="00872E13"/>
    <w:rsid w:val="008749F1"/>
    <w:rsid w:val="00875D0C"/>
    <w:rsid w:val="008804A9"/>
    <w:rsid w:val="00880993"/>
    <w:rsid w:val="008820DE"/>
    <w:rsid w:val="0088292E"/>
    <w:rsid w:val="00884541"/>
    <w:rsid w:val="00884D92"/>
    <w:rsid w:val="00887C74"/>
    <w:rsid w:val="008910D2"/>
    <w:rsid w:val="00891312"/>
    <w:rsid w:val="00895497"/>
    <w:rsid w:val="00897001"/>
    <w:rsid w:val="008971C6"/>
    <w:rsid w:val="00897486"/>
    <w:rsid w:val="008A3E09"/>
    <w:rsid w:val="008A53BF"/>
    <w:rsid w:val="008B382F"/>
    <w:rsid w:val="008B3C54"/>
    <w:rsid w:val="008B48CE"/>
    <w:rsid w:val="008B4BBC"/>
    <w:rsid w:val="008B5364"/>
    <w:rsid w:val="008C277F"/>
    <w:rsid w:val="008C5C90"/>
    <w:rsid w:val="008C6B89"/>
    <w:rsid w:val="008E2A91"/>
    <w:rsid w:val="008E4050"/>
    <w:rsid w:val="008E442A"/>
    <w:rsid w:val="008E7D01"/>
    <w:rsid w:val="008F3A00"/>
    <w:rsid w:val="008F652F"/>
    <w:rsid w:val="00901F9C"/>
    <w:rsid w:val="00902741"/>
    <w:rsid w:val="00903C05"/>
    <w:rsid w:val="0090429D"/>
    <w:rsid w:val="00904E16"/>
    <w:rsid w:val="00906989"/>
    <w:rsid w:val="00912AC5"/>
    <w:rsid w:val="00912F73"/>
    <w:rsid w:val="0091308B"/>
    <w:rsid w:val="0091321A"/>
    <w:rsid w:val="00920D77"/>
    <w:rsid w:val="009240FA"/>
    <w:rsid w:val="009249A0"/>
    <w:rsid w:val="00925BB6"/>
    <w:rsid w:val="0092630F"/>
    <w:rsid w:val="009358AF"/>
    <w:rsid w:val="00936F28"/>
    <w:rsid w:val="00940708"/>
    <w:rsid w:val="0094158E"/>
    <w:rsid w:val="009428DB"/>
    <w:rsid w:val="00944860"/>
    <w:rsid w:val="00951464"/>
    <w:rsid w:val="00951960"/>
    <w:rsid w:val="00962C78"/>
    <w:rsid w:val="00964633"/>
    <w:rsid w:val="00973DF5"/>
    <w:rsid w:val="009779D5"/>
    <w:rsid w:val="00977A83"/>
    <w:rsid w:val="0098121A"/>
    <w:rsid w:val="00982CCD"/>
    <w:rsid w:val="00985861"/>
    <w:rsid w:val="009865EE"/>
    <w:rsid w:val="00987972"/>
    <w:rsid w:val="00990503"/>
    <w:rsid w:val="0099099D"/>
    <w:rsid w:val="0099149E"/>
    <w:rsid w:val="00997B10"/>
    <w:rsid w:val="009A2994"/>
    <w:rsid w:val="009A599C"/>
    <w:rsid w:val="009B200D"/>
    <w:rsid w:val="009B472F"/>
    <w:rsid w:val="009B48E3"/>
    <w:rsid w:val="009B5C0A"/>
    <w:rsid w:val="009B6606"/>
    <w:rsid w:val="009B7149"/>
    <w:rsid w:val="009C287D"/>
    <w:rsid w:val="009C3E4D"/>
    <w:rsid w:val="009C4F6A"/>
    <w:rsid w:val="009D5FA0"/>
    <w:rsid w:val="009E7A13"/>
    <w:rsid w:val="009F07BC"/>
    <w:rsid w:val="009F1562"/>
    <w:rsid w:val="009F5DFE"/>
    <w:rsid w:val="009F697E"/>
    <w:rsid w:val="009F7330"/>
    <w:rsid w:val="00A000E9"/>
    <w:rsid w:val="00A02B80"/>
    <w:rsid w:val="00A05734"/>
    <w:rsid w:val="00A07991"/>
    <w:rsid w:val="00A100B0"/>
    <w:rsid w:val="00A10B49"/>
    <w:rsid w:val="00A128DB"/>
    <w:rsid w:val="00A2014B"/>
    <w:rsid w:val="00A2016D"/>
    <w:rsid w:val="00A207B0"/>
    <w:rsid w:val="00A20E38"/>
    <w:rsid w:val="00A218E2"/>
    <w:rsid w:val="00A25623"/>
    <w:rsid w:val="00A31AC7"/>
    <w:rsid w:val="00A31BB6"/>
    <w:rsid w:val="00A31CE1"/>
    <w:rsid w:val="00A33400"/>
    <w:rsid w:val="00A46549"/>
    <w:rsid w:val="00A50F02"/>
    <w:rsid w:val="00A54C3A"/>
    <w:rsid w:val="00A556C0"/>
    <w:rsid w:val="00A5717D"/>
    <w:rsid w:val="00A57D2B"/>
    <w:rsid w:val="00A70C54"/>
    <w:rsid w:val="00A735DD"/>
    <w:rsid w:val="00A74C12"/>
    <w:rsid w:val="00A764A9"/>
    <w:rsid w:val="00A824EA"/>
    <w:rsid w:val="00A82871"/>
    <w:rsid w:val="00A83CCF"/>
    <w:rsid w:val="00A841DC"/>
    <w:rsid w:val="00A86040"/>
    <w:rsid w:val="00A87E07"/>
    <w:rsid w:val="00A90B49"/>
    <w:rsid w:val="00AA01EE"/>
    <w:rsid w:val="00AA17DA"/>
    <w:rsid w:val="00AA1E51"/>
    <w:rsid w:val="00AA3120"/>
    <w:rsid w:val="00AB1270"/>
    <w:rsid w:val="00AB17DC"/>
    <w:rsid w:val="00AB6823"/>
    <w:rsid w:val="00AC1E20"/>
    <w:rsid w:val="00AC624B"/>
    <w:rsid w:val="00AC6CD8"/>
    <w:rsid w:val="00AC73A3"/>
    <w:rsid w:val="00AD03CE"/>
    <w:rsid w:val="00AD46C1"/>
    <w:rsid w:val="00AE2647"/>
    <w:rsid w:val="00AE5C82"/>
    <w:rsid w:val="00AE7446"/>
    <w:rsid w:val="00AE7BF0"/>
    <w:rsid w:val="00AF0072"/>
    <w:rsid w:val="00AF1730"/>
    <w:rsid w:val="00AF4C24"/>
    <w:rsid w:val="00AF5B41"/>
    <w:rsid w:val="00AF68B0"/>
    <w:rsid w:val="00AF6EF6"/>
    <w:rsid w:val="00AF7A29"/>
    <w:rsid w:val="00B0316B"/>
    <w:rsid w:val="00B06691"/>
    <w:rsid w:val="00B12053"/>
    <w:rsid w:val="00B15FCA"/>
    <w:rsid w:val="00B17059"/>
    <w:rsid w:val="00B17E1F"/>
    <w:rsid w:val="00B2123E"/>
    <w:rsid w:val="00B22606"/>
    <w:rsid w:val="00B30290"/>
    <w:rsid w:val="00B30619"/>
    <w:rsid w:val="00B325DC"/>
    <w:rsid w:val="00B32E59"/>
    <w:rsid w:val="00B34648"/>
    <w:rsid w:val="00B35668"/>
    <w:rsid w:val="00B43129"/>
    <w:rsid w:val="00B44EDE"/>
    <w:rsid w:val="00B46BFF"/>
    <w:rsid w:val="00B51D16"/>
    <w:rsid w:val="00B524B0"/>
    <w:rsid w:val="00B53162"/>
    <w:rsid w:val="00B5416F"/>
    <w:rsid w:val="00B549A4"/>
    <w:rsid w:val="00B55588"/>
    <w:rsid w:val="00B57DC1"/>
    <w:rsid w:val="00B70ED7"/>
    <w:rsid w:val="00B7209A"/>
    <w:rsid w:val="00B73DDD"/>
    <w:rsid w:val="00B7666A"/>
    <w:rsid w:val="00B77912"/>
    <w:rsid w:val="00B77C85"/>
    <w:rsid w:val="00B804C2"/>
    <w:rsid w:val="00B80626"/>
    <w:rsid w:val="00B80769"/>
    <w:rsid w:val="00B833F7"/>
    <w:rsid w:val="00B8392D"/>
    <w:rsid w:val="00B85773"/>
    <w:rsid w:val="00B8657C"/>
    <w:rsid w:val="00B86B2D"/>
    <w:rsid w:val="00B900D7"/>
    <w:rsid w:val="00B923AF"/>
    <w:rsid w:val="00B967EA"/>
    <w:rsid w:val="00B979C3"/>
    <w:rsid w:val="00BA0357"/>
    <w:rsid w:val="00BA339E"/>
    <w:rsid w:val="00BA41D7"/>
    <w:rsid w:val="00BA6899"/>
    <w:rsid w:val="00BB16B1"/>
    <w:rsid w:val="00BB2E63"/>
    <w:rsid w:val="00BB6B7B"/>
    <w:rsid w:val="00BB7428"/>
    <w:rsid w:val="00BC1F4D"/>
    <w:rsid w:val="00BC41AB"/>
    <w:rsid w:val="00BC60A8"/>
    <w:rsid w:val="00BD1E32"/>
    <w:rsid w:val="00BD2290"/>
    <w:rsid w:val="00BD23FF"/>
    <w:rsid w:val="00BD3582"/>
    <w:rsid w:val="00BD49D5"/>
    <w:rsid w:val="00BD5945"/>
    <w:rsid w:val="00BD71B2"/>
    <w:rsid w:val="00BE3147"/>
    <w:rsid w:val="00BE3D6D"/>
    <w:rsid w:val="00BE477E"/>
    <w:rsid w:val="00BE4AFC"/>
    <w:rsid w:val="00BE77B5"/>
    <w:rsid w:val="00BF0FEB"/>
    <w:rsid w:val="00BF16C4"/>
    <w:rsid w:val="00BF6334"/>
    <w:rsid w:val="00C07263"/>
    <w:rsid w:val="00C07A04"/>
    <w:rsid w:val="00C1338A"/>
    <w:rsid w:val="00C14085"/>
    <w:rsid w:val="00C154B5"/>
    <w:rsid w:val="00C15948"/>
    <w:rsid w:val="00C17BEA"/>
    <w:rsid w:val="00C2165D"/>
    <w:rsid w:val="00C22499"/>
    <w:rsid w:val="00C3145C"/>
    <w:rsid w:val="00C31979"/>
    <w:rsid w:val="00C31E40"/>
    <w:rsid w:val="00C36F58"/>
    <w:rsid w:val="00C37D0D"/>
    <w:rsid w:val="00C47508"/>
    <w:rsid w:val="00C475ED"/>
    <w:rsid w:val="00C511CB"/>
    <w:rsid w:val="00C52C6E"/>
    <w:rsid w:val="00C53BAF"/>
    <w:rsid w:val="00C56EEF"/>
    <w:rsid w:val="00C578A3"/>
    <w:rsid w:val="00C6179A"/>
    <w:rsid w:val="00C67450"/>
    <w:rsid w:val="00C73C54"/>
    <w:rsid w:val="00C73E78"/>
    <w:rsid w:val="00C75F92"/>
    <w:rsid w:val="00C7693C"/>
    <w:rsid w:val="00C77518"/>
    <w:rsid w:val="00C7798C"/>
    <w:rsid w:val="00C8222A"/>
    <w:rsid w:val="00C83126"/>
    <w:rsid w:val="00C863C9"/>
    <w:rsid w:val="00C87362"/>
    <w:rsid w:val="00C90DBE"/>
    <w:rsid w:val="00C915FF"/>
    <w:rsid w:val="00C92837"/>
    <w:rsid w:val="00C96E46"/>
    <w:rsid w:val="00CA520C"/>
    <w:rsid w:val="00CA5AF3"/>
    <w:rsid w:val="00CB0176"/>
    <w:rsid w:val="00CB28D2"/>
    <w:rsid w:val="00CB3498"/>
    <w:rsid w:val="00CC02DF"/>
    <w:rsid w:val="00CC2319"/>
    <w:rsid w:val="00CC26BC"/>
    <w:rsid w:val="00CC5EB3"/>
    <w:rsid w:val="00CC5EE9"/>
    <w:rsid w:val="00CD0F7F"/>
    <w:rsid w:val="00CE24ED"/>
    <w:rsid w:val="00CE7938"/>
    <w:rsid w:val="00CF5443"/>
    <w:rsid w:val="00D021A9"/>
    <w:rsid w:val="00D04EA7"/>
    <w:rsid w:val="00D0673B"/>
    <w:rsid w:val="00D07941"/>
    <w:rsid w:val="00D10A96"/>
    <w:rsid w:val="00D115ED"/>
    <w:rsid w:val="00D148FE"/>
    <w:rsid w:val="00D215C6"/>
    <w:rsid w:val="00D2544E"/>
    <w:rsid w:val="00D257BF"/>
    <w:rsid w:val="00D26330"/>
    <w:rsid w:val="00D26378"/>
    <w:rsid w:val="00D275DA"/>
    <w:rsid w:val="00D358E6"/>
    <w:rsid w:val="00D41A66"/>
    <w:rsid w:val="00D43C28"/>
    <w:rsid w:val="00D46060"/>
    <w:rsid w:val="00D51B20"/>
    <w:rsid w:val="00D52E70"/>
    <w:rsid w:val="00D5369E"/>
    <w:rsid w:val="00D57997"/>
    <w:rsid w:val="00D62B03"/>
    <w:rsid w:val="00D62B14"/>
    <w:rsid w:val="00D64ABF"/>
    <w:rsid w:val="00D72D98"/>
    <w:rsid w:val="00D754D9"/>
    <w:rsid w:val="00D80C8E"/>
    <w:rsid w:val="00D84086"/>
    <w:rsid w:val="00D86D59"/>
    <w:rsid w:val="00D872AE"/>
    <w:rsid w:val="00D91338"/>
    <w:rsid w:val="00D9254F"/>
    <w:rsid w:val="00D92A59"/>
    <w:rsid w:val="00D95024"/>
    <w:rsid w:val="00D957D8"/>
    <w:rsid w:val="00DA17AE"/>
    <w:rsid w:val="00DA1E57"/>
    <w:rsid w:val="00DA393D"/>
    <w:rsid w:val="00DA50D6"/>
    <w:rsid w:val="00DB0BDF"/>
    <w:rsid w:val="00DB1439"/>
    <w:rsid w:val="00DB7027"/>
    <w:rsid w:val="00DC4D34"/>
    <w:rsid w:val="00DC5F36"/>
    <w:rsid w:val="00DD03EB"/>
    <w:rsid w:val="00DD3B30"/>
    <w:rsid w:val="00DD49CE"/>
    <w:rsid w:val="00DD5758"/>
    <w:rsid w:val="00DD6BE5"/>
    <w:rsid w:val="00DE01F6"/>
    <w:rsid w:val="00DE4B86"/>
    <w:rsid w:val="00DE4C2D"/>
    <w:rsid w:val="00DE78F0"/>
    <w:rsid w:val="00DF0B9F"/>
    <w:rsid w:val="00DF4478"/>
    <w:rsid w:val="00DF5DDD"/>
    <w:rsid w:val="00E04E54"/>
    <w:rsid w:val="00E074F0"/>
    <w:rsid w:val="00E10A7B"/>
    <w:rsid w:val="00E15031"/>
    <w:rsid w:val="00E1710A"/>
    <w:rsid w:val="00E25073"/>
    <w:rsid w:val="00E31DB8"/>
    <w:rsid w:val="00E33F53"/>
    <w:rsid w:val="00E36AF3"/>
    <w:rsid w:val="00E3780C"/>
    <w:rsid w:val="00E4041D"/>
    <w:rsid w:val="00E4077D"/>
    <w:rsid w:val="00E419D5"/>
    <w:rsid w:val="00E428A4"/>
    <w:rsid w:val="00E43ECD"/>
    <w:rsid w:val="00E44802"/>
    <w:rsid w:val="00E45C7E"/>
    <w:rsid w:val="00E52F71"/>
    <w:rsid w:val="00E54914"/>
    <w:rsid w:val="00E57D45"/>
    <w:rsid w:val="00E635DB"/>
    <w:rsid w:val="00E63B96"/>
    <w:rsid w:val="00E65697"/>
    <w:rsid w:val="00E73986"/>
    <w:rsid w:val="00E7420C"/>
    <w:rsid w:val="00E752F2"/>
    <w:rsid w:val="00E76942"/>
    <w:rsid w:val="00E80528"/>
    <w:rsid w:val="00E83016"/>
    <w:rsid w:val="00E91615"/>
    <w:rsid w:val="00E91833"/>
    <w:rsid w:val="00EA1C31"/>
    <w:rsid w:val="00EA436F"/>
    <w:rsid w:val="00EB0526"/>
    <w:rsid w:val="00EB0E0C"/>
    <w:rsid w:val="00EB15B4"/>
    <w:rsid w:val="00EB2159"/>
    <w:rsid w:val="00EB5127"/>
    <w:rsid w:val="00EB55F4"/>
    <w:rsid w:val="00EB591E"/>
    <w:rsid w:val="00EB5C5B"/>
    <w:rsid w:val="00EC3AAD"/>
    <w:rsid w:val="00ED150E"/>
    <w:rsid w:val="00ED2008"/>
    <w:rsid w:val="00ED242A"/>
    <w:rsid w:val="00ED2A48"/>
    <w:rsid w:val="00ED2B5D"/>
    <w:rsid w:val="00ED61AC"/>
    <w:rsid w:val="00ED7EB8"/>
    <w:rsid w:val="00EE0F78"/>
    <w:rsid w:val="00EE1CB8"/>
    <w:rsid w:val="00EE2AD1"/>
    <w:rsid w:val="00EE643B"/>
    <w:rsid w:val="00EE64C7"/>
    <w:rsid w:val="00EF0B84"/>
    <w:rsid w:val="00EF25C3"/>
    <w:rsid w:val="00EF65D1"/>
    <w:rsid w:val="00F0246C"/>
    <w:rsid w:val="00F038E5"/>
    <w:rsid w:val="00F05B7E"/>
    <w:rsid w:val="00F1195A"/>
    <w:rsid w:val="00F1283B"/>
    <w:rsid w:val="00F13ACC"/>
    <w:rsid w:val="00F153EE"/>
    <w:rsid w:val="00F266E0"/>
    <w:rsid w:val="00F26E4F"/>
    <w:rsid w:val="00F359F6"/>
    <w:rsid w:val="00F37815"/>
    <w:rsid w:val="00F425E8"/>
    <w:rsid w:val="00F42AD9"/>
    <w:rsid w:val="00F44840"/>
    <w:rsid w:val="00F451F8"/>
    <w:rsid w:val="00F52EA2"/>
    <w:rsid w:val="00F532B0"/>
    <w:rsid w:val="00F60895"/>
    <w:rsid w:val="00F65929"/>
    <w:rsid w:val="00F67840"/>
    <w:rsid w:val="00F71421"/>
    <w:rsid w:val="00F71B4E"/>
    <w:rsid w:val="00F72A5D"/>
    <w:rsid w:val="00F83BF1"/>
    <w:rsid w:val="00F86533"/>
    <w:rsid w:val="00F8653C"/>
    <w:rsid w:val="00F924D9"/>
    <w:rsid w:val="00F93DC8"/>
    <w:rsid w:val="00FA4ADE"/>
    <w:rsid w:val="00FA4D7D"/>
    <w:rsid w:val="00FA5E6E"/>
    <w:rsid w:val="00FA6580"/>
    <w:rsid w:val="00FA6E39"/>
    <w:rsid w:val="00FB0805"/>
    <w:rsid w:val="00FB18C3"/>
    <w:rsid w:val="00FB6A5E"/>
    <w:rsid w:val="00FB73E2"/>
    <w:rsid w:val="00FC0B16"/>
    <w:rsid w:val="00FC1A40"/>
    <w:rsid w:val="00FC2CFC"/>
    <w:rsid w:val="00FC3738"/>
    <w:rsid w:val="00FC5DFD"/>
    <w:rsid w:val="00FC71AE"/>
    <w:rsid w:val="00FD07AC"/>
    <w:rsid w:val="00FD2758"/>
    <w:rsid w:val="00FD5069"/>
    <w:rsid w:val="00FE38DE"/>
    <w:rsid w:val="00FE7C06"/>
    <w:rsid w:val="00FF27B9"/>
    <w:rsid w:val="00FF2B14"/>
    <w:rsid w:val="00FF408C"/>
    <w:rsid w:val="00FF4A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45CE5"/>
  <w15:docId w15:val="{DFE4578D-4467-42AD-8CA9-BC27556F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0D6"/>
    <w:rPr>
      <w:color w:val="0563C1" w:themeColor="hyperlink"/>
      <w:u w:val="single"/>
    </w:rPr>
  </w:style>
  <w:style w:type="paragraph" w:styleId="Header">
    <w:name w:val="header"/>
    <w:basedOn w:val="Normal"/>
    <w:link w:val="HeaderChar"/>
    <w:uiPriority w:val="99"/>
    <w:unhideWhenUsed/>
    <w:rsid w:val="00DA50D6"/>
    <w:pPr>
      <w:tabs>
        <w:tab w:val="center" w:pos="4513"/>
        <w:tab w:val="right" w:pos="9026"/>
      </w:tabs>
    </w:pPr>
  </w:style>
  <w:style w:type="character" w:customStyle="1" w:styleId="HeaderChar">
    <w:name w:val="Header Char"/>
    <w:basedOn w:val="DefaultParagraphFont"/>
    <w:link w:val="Header"/>
    <w:uiPriority w:val="99"/>
    <w:rsid w:val="00DA50D6"/>
  </w:style>
  <w:style w:type="paragraph" w:styleId="Footer">
    <w:name w:val="footer"/>
    <w:basedOn w:val="Normal"/>
    <w:link w:val="FooterChar"/>
    <w:uiPriority w:val="99"/>
    <w:unhideWhenUsed/>
    <w:rsid w:val="00DA50D6"/>
    <w:pPr>
      <w:tabs>
        <w:tab w:val="center" w:pos="4513"/>
        <w:tab w:val="right" w:pos="9026"/>
      </w:tabs>
    </w:pPr>
  </w:style>
  <w:style w:type="character" w:customStyle="1" w:styleId="FooterChar">
    <w:name w:val="Footer Char"/>
    <w:basedOn w:val="DefaultParagraphFont"/>
    <w:link w:val="Footer"/>
    <w:uiPriority w:val="99"/>
    <w:rsid w:val="00DA50D6"/>
  </w:style>
  <w:style w:type="paragraph" w:styleId="ListParagraph">
    <w:name w:val="List Paragraph"/>
    <w:basedOn w:val="Normal"/>
    <w:uiPriority w:val="34"/>
    <w:qFormat/>
    <w:rsid w:val="00383AD1"/>
    <w:pPr>
      <w:ind w:left="720"/>
      <w:contextualSpacing/>
    </w:pPr>
  </w:style>
  <w:style w:type="paragraph" w:styleId="BalloonText">
    <w:name w:val="Balloon Text"/>
    <w:basedOn w:val="Normal"/>
    <w:link w:val="BalloonTextChar"/>
    <w:uiPriority w:val="99"/>
    <w:semiHidden/>
    <w:unhideWhenUsed/>
    <w:rsid w:val="002328B2"/>
    <w:rPr>
      <w:rFonts w:ascii="Tahoma" w:hAnsi="Tahoma" w:cs="Tahoma"/>
      <w:sz w:val="16"/>
      <w:szCs w:val="16"/>
    </w:rPr>
  </w:style>
  <w:style w:type="character" w:customStyle="1" w:styleId="BalloonTextChar">
    <w:name w:val="Balloon Text Char"/>
    <w:basedOn w:val="DefaultParagraphFont"/>
    <w:link w:val="BalloonText"/>
    <w:uiPriority w:val="99"/>
    <w:semiHidden/>
    <w:rsid w:val="002328B2"/>
    <w:rPr>
      <w:rFonts w:ascii="Tahoma" w:hAnsi="Tahoma" w:cs="Tahoma"/>
      <w:sz w:val="16"/>
      <w:szCs w:val="16"/>
    </w:rPr>
  </w:style>
  <w:style w:type="table" w:styleId="TableGrid">
    <w:name w:val="Table Grid"/>
    <w:basedOn w:val="TableNormal"/>
    <w:uiPriority w:val="39"/>
    <w:rsid w:val="007F4101"/>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7C66"/>
    <w:rPr>
      <w:b/>
      <w:bCs/>
    </w:rPr>
  </w:style>
  <w:style w:type="paragraph" w:styleId="NormalWeb">
    <w:name w:val="Normal (Web)"/>
    <w:basedOn w:val="Normal"/>
    <w:uiPriority w:val="99"/>
    <w:semiHidden/>
    <w:unhideWhenUsed/>
    <w:rsid w:val="00677C66"/>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journaltitle">
    <w:name w:val="journaltitle"/>
    <w:basedOn w:val="DefaultParagraphFont"/>
    <w:rsid w:val="00677C66"/>
  </w:style>
  <w:style w:type="character" w:customStyle="1" w:styleId="articlecitationyear">
    <w:name w:val="articlecitation_year"/>
    <w:basedOn w:val="DefaultParagraphFont"/>
    <w:rsid w:val="00677C66"/>
  </w:style>
  <w:style w:type="character" w:customStyle="1" w:styleId="apple-converted-space">
    <w:name w:val="apple-converted-space"/>
    <w:basedOn w:val="DefaultParagraphFont"/>
    <w:rsid w:val="00677C66"/>
  </w:style>
  <w:style w:type="character" w:customStyle="1" w:styleId="articlecitationvolume">
    <w:name w:val="articlecitation_volume"/>
    <w:basedOn w:val="DefaultParagraphFont"/>
    <w:rsid w:val="00677C66"/>
  </w:style>
  <w:style w:type="character" w:customStyle="1" w:styleId="articlecitationpages">
    <w:name w:val="articlecitation_pages"/>
    <w:basedOn w:val="DefaultParagraphFont"/>
    <w:rsid w:val="00677C66"/>
  </w:style>
  <w:style w:type="paragraph" w:customStyle="1" w:styleId="bylinebody">
    <w:name w:val="bylinebody"/>
    <w:basedOn w:val="Normal"/>
    <w:rsid w:val="00103CEF"/>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publisheddate">
    <w:name w:val="publisheddate"/>
    <w:basedOn w:val="Normal"/>
    <w:rsid w:val="00103CEF"/>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Mention1">
    <w:name w:val="Mention1"/>
    <w:basedOn w:val="DefaultParagraphFont"/>
    <w:uiPriority w:val="99"/>
    <w:semiHidden/>
    <w:unhideWhenUsed/>
    <w:rsid w:val="00C2165D"/>
    <w:rPr>
      <w:color w:val="2B579A"/>
      <w:shd w:val="clear" w:color="auto" w:fill="E6E6E6"/>
    </w:rPr>
  </w:style>
  <w:style w:type="character" w:styleId="CommentReference">
    <w:name w:val="annotation reference"/>
    <w:basedOn w:val="DefaultParagraphFont"/>
    <w:uiPriority w:val="99"/>
    <w:semiHidden/>
    <w:unhideWhenUsed/>
    <w:rsid w:val="00824BBC"/>
    <w:rPr>
      <w:sz w:val="16"/>
      <w:szCs w:val="16"/>
    </w:rPr>
  </w:style>
  <w:style w:type="paragraph" w:styleId="CommentText">
    <w:name w:val="annotation text"/>
    <w:basedOn w:val="Normal"/>
    <w:link w:val="CommentTextChar"/>
    <w:uiPriority w:val="99"/>
    <w:semiHidden/>
    <w:unhideWhenUsed/>
    <w:rsid w:val="00824BBC"/>
    <w:rPr>
      <w:sz w:val="20"/>
      <w:szCs w:val="20"/>
    </w:rPr>
  </w:style>
  <w:style w:type="character" w:customStyle="1" w:styleId="CommentTextChar">
    <w:name w:val="Comment Text Char"/>
    <w:basedOn w:val="DefaultParagraphFont"/>
    <w:link w:val="CommentText"/>
    <w:uiPriority w:val="99"/>
    <w:semiHidden/>
    <w:rsid w:val="00824BBC"/>
    <w:rPr>
      <w:sz w:val="20"/>
      <w:szCs w:val="20"/>
    </w:rPr>
  </w:style>
  <w:style w:type="paragraph" w:styleId="CommentSubject">
    <w:name w:val="annotation subject"/>
    <w:basedOn w:val="CommentText"/>
    <w:next w:val="CommentText"/>
    <w:link w:val="CommentSubjectChar"/>
    <w:uiPriority w:val="99"/>
    <w:semiHidden/>
    <w:unhideWhenUsed/>
    <w:rsid w:val="00824BBC"/>
    <w:rPr>
      <w:b/>
      <w:bCs/>
    </w:rPr>
  </w:style>
  <w:style w:type="character" w:customStyle="1" w:styleId="CommentSubjectChar">
    <w:name w:val="Comment Subject Char"/>
    <w:basedOn w:val="CommentTextChar"/>
    <w:link w:val="CommentSubject"/>
    <w:uiPriority w:val="99"/>
    <w:semiHidden/>
    <w:rsid w:val="00824B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28361">
      <w:bodyDiv w:val="1"/>
      <w:marLeft w:val="0"/>
      <w:marRight w:val="0"/>
      <w:marTop w:val="0"/>
      <w:marBottom w:val="0"/>
      <w:divBdr>
        <w:top w:val="none" w:sz="0" w:space="0" w:color="auto"/>
        <w:left w:val="none" w:sz="0" w:space="0" w:color="auto"/>
        <w:bottom w:val="none" w:sz="0" w:space="0" w:color="auto"/>
        <w:right w:val="none" w:sz="0" w:space="0" w:color="auto"/>
      </w:divBdr>
    </w:div>
    <w:div w:id="867647342">
      <w:bodyDiv w:val="1"/>
      <w:marLeft w:val="0"/>
      <w:marRight w:val="0"/>
      <w:marTop w:val="0"/>
      <w:marBottom w:val="0"/>
      <w:divBdr>
        <w:top w:val="none" w:sz="0" w:space="0" w:color="auto"/>
        <w:left w:val="none" w:sz="0" w:space="0" w:color="auto"/>
        <w:bottom w:val="none" w:sz="0" w:space="0" w:color="auto"/>
        <w:right w:val="none" w:sz="0" w:space="0" w:color="auto"/>
      </w:divBdr>
      <w:divsChild>
        <w:div w:id="1893954880">
          <w:marLeft w:val="0"/>
          <w:marRight w:val="0"/>
          <w:marTop w:val="0"/>
          <w:marBottom w:val="0"/>
          <w:divBdr>
            <w:top w:val="none" w:sz="0" w:space="0" w:color="auto"/>
            <w:left w:val="none" w:sz="0" w:space="0" w:color="auto"/>
            <w:bottom w:val="none" w:sz="0" w:space="0" w:color="auto"/>
            <w:right w:val="none" w:sz="0" w:space="0" w:color="auto"/>
          </w:divBdr>
        </w:div>
      </w:divsChild>
    </w:div>
    <w:div w:id="14024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EF96A-52F6-45FC-81AB-B8F6047B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Bentley</dc:creator>
  <cp:lastModifiedBy>Saeyeon Roh</cp:lastModifiedBy>
  <cp:revision>3</cp:revision>
  <cp:lastPrinted>2018-06-17T16:23:00Z</cp:lastPrinted>
  <dcterms:created xsi:type="dcterms:W3CDTF">2018-07-20T13:35:00Z</dcterms:created>
  <dcterms:modified xsi:type="dcterms:W3CDTF">2018-07-20T14:05:00Z</dcterms:modified>
</cp:coreProperties>
</file>