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F2" w:rsidRPr="00610FF2" w:rsidRDefault="00610FF2" w:rsidP="00610FF2">
      <w:pPr>
        <w:spacing w:after="0" w:line="240" w:lineRule="auto"/>
        <w:jc w:val="both"/>
        <w:rPr>
          <w:rFonts w:cstheme="minorHAnsi"/>
          <w:b/>
          <w:sz w:val="28"/>
          <w:szCs w:val="28"/>
        </w:rPr>
      </w:pPr>
      <w:r w:rsidRPr="00610FF2">
        <w:rPr>
          <w:rFonts w:cstheme="minorHAnsi"/>
          <w:b/>
          <w:sz w:val="28"/>
          <w:szCs w:val="28"/>
        </w:rPr>
        <w:t xml:space="preserve">BEING GREEN IS BEING SUSTAINABLE: THE ROLE OF CRITICAL ENABLERS </w:t>
      </w:r>
    </w:p>
    <w:p w:rsidR="00610FF2" w:rsidRPr="006065F5" w:rsidRDefault="00610FF2" w:rsidP="00610FF2">
      <w:pPr>
        <w:spacing w:after="0" w:line="240" w:lineRule="auto"/>
        <w:jc w:val="both"/>
        <w:rPr>
          <w:rFonts w:cstheme="minorHAnsi"/>
          <w:b/>
          <w:sz w:val="6"/>
          <w:szCs w:val="28"/>
        </w:rPr>
      </w:pPr>
    </w:p>
    <w:p w:rsidR="00610FF2" w:rsidRPr="00610FF2" w:rsidRDefault="00610FF2" w:rsidP="00610FF2">
      <w:pPr>
        <w:spacing w:after="0" w:line="240" w:lineRule="auto"/>
        <w:jc w:val="both"/>
        <w:rPr>
          <w:rFonts w:cstheme="minorHAnsi"/>
          <w:b/>
          <w:i/>
          <w:szCs w:val="20"/>
          <w:vertAlign w:val="superscript"/>
        </w:rPr>
      </w:pPr>
      <w:r w:rsidRPr="00610FF2">
        <w:rPr>
          <w:rFonts w:cstheme="minorHAnsi"/>
          <w:b/>
          <w:i/>
          <w:szCs w:val="20"/>
        </w:rPr>
        <w:t>Augustine K Bempong</w:t>
      </w:r>
      <w:r w:rsidRPr="00610FF2">
        <w:rPr>
          <w:rFonts w:cstheme="minorHAnsi"/>
          <w:b/>
          <w:i/>
          <w:szCs w:val="20"/>
          <w:vertAlign w:val="superscript"/>
        </w:rPr>
        <w:t>1</w:t>
      </w:r>
      <w:r w:rsidRPr="00610FF2">
        <w:rPr>
          <w:rFonts w:cstheme="minorHAnsi"/>
          <w:b/>
          <w:i/>
          <w:szCs w:val="20"/>
        </w:rPr>
        <w:t>, Ming Lim</w:t>
      </w:r>
      <w:r w:rsidRPr="00610FF2">
        <w:rPr>
          <w:rFonts w:cstheme="minorHAnsi"/>
          <w:b/>
          <w:i/>
          <w:szCs w:val="20"/>
          <w:vertAlign w:val="superscript"/>
        </w:rPr>
        <w:t>1</w:t>
      </w:r>
      <w:r w:rsidRPr="00610FF2">
        <w:rPr>
          <w:rFonts w:cstheme="minorHAnsi"/>
          <w:b/>
          <w:i/>
          <w:szCs w:val="20"/>
        </w:rPr>
        <w:t xml:space="preserve"> and </w:t>
      </w:r>
      <w:proofErr w:type="spellStart"/>
      <w:r w:rsidRPr="00610FF2">
        <w:rPr>
          <w:rFonts w:cstheme="minorHAnsi"/>
          <w:b/>
          <w:i/>
          <w:szCs w:val="20"/>
        </w:rPr>
        <w:t>Jialun</w:t>
      </w:r>
      <w:proofErr w:type="spellEnd"/>
      <w:r w:rsidRPr="00610FF2">
        <w:rPr>
          <w:rFonts w:cstheme="minorHAnsi"/>
          <w:b/>
          <w:i/>
          <w:szCs w:val="20"/>
        </w:rPr>
        <w:t xml:space="preserve"> Hu</w:t>
      </w:r>
      <w:r w:rsidRPr="00610FF2">
        <w:rPr>
          <w:rFonts w:cstheme="minorHAnsi"/>
          <w:b/>
          <w:i/>
          <w:szCs w:val="20"/>
          <w:vertAlign w:val="superscript"/>
        </w:rPr>
        <w:t>2</w:t>
      </w:r>
    </w:p>
    <w:p w:rsidR="00610FF2" w:rsidRPr="00610FF2" w:rsidRDefault="00610FF2" w:rsidP="00610FF2">
      <w:pPr>
        <w:spacing w:after="0" w:line="240" w:lineRule="auto"/>
        <w:jc w:val="both"/>
        <w:rPr>
          <w:rFonts w:cstheme="minorHAnsi"/>
          <w:i/>
        </w:rPr>
      </w:pPr>
      <w:r w:rsidRPr="00610FF2">
        <w:rPr>
          <w:rFonts w:cstheme="minorHAnsi"/>
          <w:i/>
          <w:vertAlign w:val="superscript"/>
        </w:rPr>
        <w:t>1</w:t>
      </w:r>
      <w:r w:rsidRPr="00610FF2">
        <w:rPr>
          <w:rFonts w:cstheme="minorHAnsi"/>
          <w:i/>
        </w:rPr>
        <w:t>Centre for Business in Society, Coventry University, UK</w:t>
      </w:r>
    </w:p>
    <w:p w:rsidR="00610FF2" w:rsidRPr="00610FF2" w:rsidRDefault="00610FF2" w:rsidP="00610FF2">
      <w:pPr>
        <w:spacing w:after="0" w:line="240" w:lineRule="auto"/>
        <w:jc w:val="both"/>
        <w:rPr>
          <w:rFonts w:cstheme="minorHAnsi"/>
          <w:i/>
        </w:rPr>
      </w:pPr>
      <w:r w:rsidRPr="00610FF2">
        <w:rPr>
          <w:rFonts w:cstheme="minorHAnsi"/>
          <w:i/>
          <w:vertAlign w:val="superscript"/>
        </w:rPr>
        <w:t>2</w:t>
      </w:r>
      <w:r w:rsidRPr="00610FF2">
        <w:rPr>
          <w:rFonts w:cstheme="minorHAnsi"/>
          <w:i/>
        </w:rPr>
        <w:t>Coventry Business School, Coventry University, UK</w:t>
      </w:r>
    </w:p>
    <w:p w:rsidR="00610FF2" w:rsidRPr="006065F5" w:rsidRDefault="00610FF2" w:rsidP="00610FF2">
      <w:pPr>
        <w:spacing w:after="0" w:line="240" w:lineRule="auto"/>
        <w:rPr>
          <w:rFonts w:cstheme="minorHAnsi"/>
          <w:b/>
          <w:sz w:val="6"/>
          <w:szCs w:val="24"/>
          <w:u w:val="single"/>
        </w:rPr>
      </w:pPr>
    </w:p>
    <w:p w:rsidR="00CD06AB" w:rsidRPr="00610FF2" w:rsidRDefault="00610FF2" w:rsidP="00610FF2">
      <w:pPr>
        <w:spacing w:after="0" w:line="240" w:lineRule="auto"/>
        <w:rPr>
          <w:rFonts w:cstheme="minorHAnsi"/>
          <w:b/>
          <w:u w:val="single"/>
        </w:rPr>
      </w:pPr>
      <w:r>
        <w:rPr>
          <w:rFonts w:cstheme="minorHAnsi"/>
          <w:b/>
          <w:sz w:val="24"/>
          <w:szCs w:val="24"/>
          <w:u w:val="single"/>
        </w:rPr>
        <w:t>1.</w:t>
      </w:r>
      <w:r w:rsidR="00C86CCF" w:rsidRPr="00610FF2">
        <w:rPr>
          <w:rFonts w:cstheme="minorHAnsi"/>
          <w:b/>
          <w:sz w:val="24"/>
          <w:szCs w:val="24"/>
          <w:u w:val="single"/>
        </w:rPr>
        <w:t xml:space="preserve"> </w:t>
      </w:r>
      <w:r w:rsidR="00FB5C66" w:rsidRPr="00610FF2">
        <w:rPr>
          <w:rFonts w:cstheme="minorHAnsi"/>
          <w:b/>
          <w:u w:val="single"/>
        </w:rPr>
        <w:t>I</w:t>
      </w:r>
      <w:r>
        <w:rPr>
          <w:rFonts w:cstheme="minorHAnsi"/>
          <w:b/>
          <w:u w:val="single"/>
        </w:rPr>
        <w:t>ntroduction</w:t>
      </w:r>
    </w:p>
    <w:p w:rsidR="009E00D8" w:rsidRDefault="00193B82" w:rsidP="00610FF2">
      <w:pPr>
        <w:spacing w:after="0" w:line="240" w:lineRule="auto"/>
        <w:jc w:val="both"/>
        <w:rPr>
          <w:rFonts w:cstheme="minorHAnsi"/>
        </w:rPr>
      </w:pPr>
      <w:r w:rsidRPr="00610FF2">
        <w:rPr>
          <w:rFonts w:cstheme="minorHAnsi"/>
        </w:rPr>
        <w:t>As a consequence of increase</w:t>
      </w:r>
      <w:r w:rsidR="0060421B" w:rsidRPr="00610FF2">
        <w:rPr>
          <w:rFonts w:cstheme="minorHAnsi"/>
        </w:rPr>
        <w:t>d</w:t>
      </w:r>
      <w:r w:rsidRPr="00610FF2">
        <w:rPr>
          <w:rFonts w:cstheme="minorHAnsi"/>
        </w:rPr>
        <w:t xml:space="preserve"> in environmental awareness and interest in environmental protection, there is a growing pressure on manufacturing industries to adopt a manufacturing philosophy that seeks to </w:t>
      </w:r>
      <w:r w:rsidR="001031D0" w:rsidRPr="00610FF2">
        <w:rPr>
          <w:rFonts w:cstheme="minorHAnsi"/>
        </w:rPr>
        <w:t>apply environmental sound practices in their operations to help reduce impact of their operations on the natural environment (</w:t>
      </w:r>
      <w:proofErr w:type="spellStart"/>
      <w:r w:rsidR="001031D0" w:rsidRPr="00610FF2">
        <w:rPr>
          <w:rFonts w:cstheme="minorHAnsi"/>
        </w:rPr>
        <w:t>Wycherly</w:t>
      </w:r>
      <w:proofErr w:type="spellEnd"/>
      <w:r w:rsidR="001031D0" w:rsidRPr="00610FF2">
        <w:rPr>
          <w:rFonts w:cstheme="minorHAnsi"/>
        </w:rPr>
        <w:t xml:space="preserve"> 19</w:t>
      </w:r>
      <w:r w:rsidR="00586F04" w:rsidRPr="00610FF2">
        <w:rPr>
          <w:rFonts w:cstheme="minorHAnsi"/>
        </w:rPr>
        <w:t>99). In order to respond to the</w:t>
      </w:r>
      <w:r w:rsidR="001031D0" w:rsidRPr="00610FF2">
        <w:rPr>
          <w:rFonts w:cstheme="minorHAnsi"/>
        </w:rPr>
        <w:t xml:space="preserve"> growing concern of environmental pollution, </w:t>
      </w:r>
      <w:r w:rsidR="00586F04" w:rsidRPr="00610FF2">
        <w:rPr>
          <w:rFonts w:cstheme="minorHAnsi"/>
        </w:rPr>
        <w:t>GSCM been</w:t>
      </w:r>
      <w:r w:rsidR="001031D0" w:rsidRPr="00610FF2">
        <w:rPr>
          <w:rFonts w:cstheme="minorHAnsi"/>
        </w:rPr>
        <w:t xml:space="preserve"> adopted by</w:t>
      </w:r>
      <w:r w:rsidR="00586F04" w:rsidRPr="00610FF2">
        <w:rPr>
          <w:rFonts w:cstheme="minorHAnsi"/>
        </w:rPr>
        <w:t xml:space="preserve"> </w:t>
      </w:r>
      <w:r w:rsidR="001031D0" w:rsidRPr="00610FF2">
        <w:rPr>
          <w:rFonts w:cstheme="minorHAnsi"/>
        </w:rPr>
        <w:t>manufacturing firms a</w:t>
      </w:r>
      <w:r w:rsidR="009D3AC3" w:rsidRPr="00610FF2">
        <w:rPr>
          <w:rFonts w:cstheme="minorHAnsi"/>
        </w:rPr>
        <w:t>s a</w:t>
      </w:r>
      <w:r w:rsidR="001031D0" w:rsidRPr="00610FF2">
        <w:rPr>
          <w:rFonts w:cstheme="minorHAnsi"/>
        </w:rPr>
        <w:t xml:space="preserve"> potential machinery to restore sustainability to the natural environment</w:t>
      </w:r>
      <w:r w:rsidR="009D3AC3" w:rsidRPr="00610FF2">
        <w:rPr>
          <w:rFonts w:cstheme="minorHAnsi"/>
        </w:rPr>
        <w:t xml:space="preserve"> (</w:t>
      </w:r>
      <w:proofErr w:type="spellStart"/>
      <w:r w:rsidR="009D3AC3" w:rsidRPr="00610FF2">
        <w:rPr>
          <w:rFonts w:cstheme="minorHAnsi"/>
        </w:rPr>
        <w:t>Noci</w:t>
      </w:r>
      <w:proofErr w:type="spellEnd"/>
      <w:r w:rsidR="009D3AC3" w:rsidRPr="00610FF2">
        <w:rPr>
          <w:rFonts w:cstheme="minorHAnsi"/>
        </w:rPr>
        <w:t xml:space="preserve"> 1997).</w:t>
      </w:r>
      <w:r w:rsidRPr="00610FF2">
        <w:rPr>
          <w:rFonts w:cstheme="minorHAnsi"/>
        </w:rPr>
        <w:t xml:space="preserve"> </w:t>
      </w:r>
      <w:r w:rsidR="001D6441" w:rsidRPr="00610FF2">
        <w:rPr>
          <w:rFonts w:cstheme="minorHAnsi"/>
        </w:rPr>
        <w:t>Recent growing awareness and the pressures on manufacturing industries create a necessity for industries to restructure and reshape their operational process to enhance their strategy to sustain their business and profitability while also staying competitive in the market (</w:t>
      </w:r>
      <w:proofErr w:type="spellStart"/>
      <w:r w:rsidR="001D6441" w:rsidRPr="00610FF2">
        <w:rPr>
          <w:rFonts w:cstheme="minorHAnsi"/>
        </w:rPr>
        <w:t>Zailani</w:t>
      </w:r>
      <w:proofErr w:type="spellEnd"/>
      <w:r w:rsidR="001D6441" w:rsidRPr="00610FF2">
        <w:rPr>
          <w:rFonts w:cstheme="minorHAnsi"/>
        </w:rPr>
        <w:t xml:space="preserve"> et al 2012). To achieve this enhancement in business </w:t>
      </w:r>
      <w:r w:rsidR="00B463D5" w:rsidRPr="00610FF2">
        <w:rPr>
          <w:rFonts w:cstheme="minorHAnsi"/>
        </w:rPr>
        <w:t>strategy, manufacturing</w:t>
      </w:r>
      <w:r w:rsidR="00BB5CC5" w:rsidRPr="00610FF2">
        <w:rPr>
          <w:rFonts w:cstheme="minorHAnsi"/>
        </w:rPr>
        <w:t xml:space="preserve"> firms must go</w:t>
      </w:r>
      <w:r w:rsidR="001D6441" w:rsidRPr="00610FF2">
        <w:rPr>
          <w:rFonts w:cstheme="minorHAnsi"/>
        </w:rPr>
        <w:t xml:space="preserve"> beyond their</w:t>
      </w:r>
      <w:r w:rsidR="00BB5CC5" w:rsidRPr="00610FF2">
        <w:rPr>
          <w:rFonts w:cstheme="minorHAnsi"/>
        </w:rPr>
        <w:t xml:space="preserve"> internal </w:t>
      </w:r>
      <w:r w:rsidR="00586F04" w:rsidRPr="00610FF2">
        <w:rPr>
          <w:rFonts w:cstheme="minorHAnsi"/>
        </w:rPr>
        <w:t>operations, monitoring, auditing their supplier’s environmental objectives,</w:t>
      </w:r>
      <w:r w:rsidR="00BB5CC5" w:rsidRPr="00610FF2">
        <w:rPr>
          <w:rFonts w:cstheme="minorHAnsi"/>
        </w:rPr>
        <w:t xml:space="preserve"> </w:t>
      </w:r>
      <w:r w:rsidR="00586F04" w:rsidRPr="00610FF2">
        <w:rPr>
          <w:rFonts w:cstheme="minorHAnsi"/>
        </w:rPr>
        <w:t>and</w:t>
      </w:r>
      <w:r w:rsidR="00BB5CC5" w:rsidRPr="00610FF2">
        <w:rPr>
          <w:rFonts w:cstheme="minorHAnsi"/>
        </w:rPr>
        <w:t xml:space="preserve"> meet the environmental demands of their customers (Porter and Kramer 2006)</w:t>
      </w:r>
      <w:r w:rsidR="00610FF2">
        <w:rPr>
          <w:rFonts w:cstheme="minorHAnsi"/>
        </w:rPr>
        <w:t>.</w:t>
      </w:r>
    </w:p>
    <w:p w:rsidR="00610FF2" w:rsidRPr="006065F5" w:rsidRDefault="00610FF2" w:rsidP="00610FF2">
      <w:pPr>
        <w:spacing w:after="0" w:line="240" w:lineRule="auto"/>
        <w:jc w:val="both"/>
        <w:rPr>
          <w:rFonts w:cstheme="minorHAnsi"/>
          <w:sz w:val="8"/>
        </w:rPr>
      </w:pPr>
    </w:p>
    <w:p w:rsidR="00BB5CC5" w:rsidRDefault="00586F04" w:rsidP="00610FF2">
      <w:pPr>
        <w:spacing w:after="0" w:line="240" w:lineRule="auto"/>
        <w:jc w:val="both"/>
        <w:rPr>
          <w:rFonts w:cstheme="minorHAnsi"/>
        </w:rPr>
      </w:pPr>
      <w:r w:rsidRPr="00610FF2">
        <w:rPr>
          <w:rFonts w:cstheme="minorHAnsi"/>
        </w:rPr>
        <w:t>GSCM</w:t>
      </w:r>
      <w:r w:rsidR="008450E7" w:rsidRPr="00610FF2">
        <w:rPr>
          <w:rFonts w:cstheme="minorHAnsi"/>
        </w:rPr>
        <w:t xml:space="preserve"> demands that practices</w:t>
      </w:r>
      <w:r w:rsidRPr="00610FF2">
        <w:rPr>
          <w:rFonts w:cstheme="minorHAnsi"/>
        </w:rPr>
        <w:t>,</w:t>
      </w:r>
      <w:r w:rsidR="008450E7" w:rsidRPr="00610FF2">
        <w:rPr>
          <w:rFonts w:cstheme="minorHAnsi"/>
        </w:rPr>
        <w:t xml:space="preserve"> such as eco design, green m</w:t>
      </w:r>
      <w:r w:rsidR="002A426F" w:rsidRPr="00610FF2">
        <w:rPr>
          <w:rFonts w:cstheme="minorHAnsi"/>
        </w:rPr>
        <w:t>anufacturing, green purchasing</w:t>
      </w:r>
      <w:r w:rsidR="008450E7" w:rsidRPr="00610FF2">
        <w:rPr>
          <w:rFonts w:cstheme="minorHAnsi"/>
        </w:rPr>
        <w:t xml:space="preserve"> and re</w:t>
      </w:r>
      <w:r w:rsidRPr="00610FF2">
        <w:rPr>
          <w:rFonts w:cstheme="minorHAnsi"/>
        </w:rPr>
        <w:t xml:space="preserve">verse logistics enhance the </w:t>
      </w:r>
      <w:r w:rsidR="00FD419A" w:rsidRPr="00610FF2">
        <w:rPr>
          <w:rFonts w:cstheme="minorHAnsi"/>
        </w:rPr>
        <w:t xml:space="preserve">achievement of </w:t>
      </w:r>
      <w:r w:rsidRPr="00610FF2">
        <w:rPr>
          <w:rFonts w:cstheme="minorHAnsi"/>
        </w:rPr>
        <w:t>sustainability</w:t>
      </w:r>
      <w:r w:rsidR="008450E7" w:rsidRPr="00610FF2">
        <w:rPr>
          <w:rFonts w:cstheme="minorHAnsi"/>
        </w:rPr>
        <w:t xml:space="preserve"> (Zhu et al 2005). </w:t>
      </w:r>
      <w:r w:rsidRPr="00610FF2">
        <w:rPr>
          <w:rFonts w:cstheme="minorHAnsi"/>
        </w:rPr>
        <w:t>However,</w:t>
      </w:r>
      <w:r w:rsidR="008450E7" w:rsidRPr="00610FF2">
        <w:rPr>
          <w:rFonts w:cstheme="minorHAnsi"/>
        </w:rPr>
        <w:t xml:space="preserve"> there are certain critical enablers </w:t>
      </w:r>
      <w:r w:rsidR="00C86CCF" w:rsidRPr="00610FF2">
        <w:rPr>
          <w:rFonts w:cstheme="minorHAnsi"/>
        </w:rPr>
        <w:t>that need</w:t>
      </w:r>
      <w:r w:rsidR="001F446E" w:rsidRPr="00610FF2">
        <w:rPr>
          <w:rFonts w:cstheme="minorHAnsi"/>
        </w:rPr>
        <w:t xml:space="preserve"> to be present </w:t>
      </w:r>
      <w:r w:rsidR="006D1E5F" w:rsidRPr="00610FF2">
        <w:rPr>
          <w:rFonts w:cstheme="minorHAnsi"/>
        </w:rPr>
        <w:t xml:space="preserve">to support successful </w:t>
      </w:r>
      <w:r w:rsidR="00C86CCF" w:rsidRPr="00610FF2">
        <w:rPr>
          <w:rFonts w:cstheme="minorHAnsi"/>
        </w:rPr>
        <w:t>implementati</w:t>
      </w:r>
      <w:r w:rsidR="00C27D1F">
        <w:rPr>
          <w:rFonts w:cstheme="minorHAnsi"/>
        </w:rPr>
        <w:t>on of GSCM</w:t>
      </w:r>
      <w:r w:rsidR="006D1E5F" w:rsidRPr="00610FF2">
        <w:rPr>
          <w:rFonts w:cstheme="minorHAnsi"/>
        </w:rPr>
        <w:t xml:space="preserve"> (</w:t>
      </w:r>
      <w:proofErr w:type="spellStart"/>
      <w:r w:rsidR="006D1E5F" w:rsidRPr="00610FF2">
        <w:rPr>
          <w:rFonts w:cstheme="minorHAnsi"/>
        </w:rPr>
        <w:t>Diabat</w:t>
      </w:r>
      <w:proofErr w:type="spellEnd"/>
      <w:r w:rsidR="006D1E5F" w:rsidRPr="00610FF2">
        <w:rPr>
          <w:rFonts w:cstheme="minorHAnsi"/>
        </w:rPr>
        <w:t xml:space="preserve"> et al 2014).</w:t>
      </w:r>
    </w:p>
    <w:p w:rsidR="00610FF2" w:rsidRPr="006065F5" w:rsidRDefault="00610FF2" w:rsidP="00610FF2">
      <w:pPr>
        <w:spacing w:after="0" w:line="240" w:lineRule="auto"/>
        <w:jc w:val="both"/>
        <w:rPr>
          <w:rFonts w:cstheme="minorHAnsi"/>
          <w:sz w:val="8"/>
        </w:rPr>
      </w:pPr>
    </w:p>
    <w:p w:rsidR="00C86CCF" w:rsidRDefault="00FD419A" w:rsidP="00610FF2">
      <w:pPr>
        <w:spacing w:after="0" w:line="240" w:lineRule="auto"/>
        <w:jc w:val="both"/>
        <w:rPr>
          <w:rFonts w:cstheme="minorHAnsi"/>
        </w:rPr>
      </w:pPr>
      <w:r w:rsidRPr="00610FF2">
        <w:rPr>
          <w:rFonts w:cstheme="minorHAnsi"/>
        </w:rPr>
        <w:t>This paper is interested in investigating</w:t>
      </w:r>
      <w:r w:rsidR="00C86CCF" w:rsidRPr="00610FF2">
        <w:rPr>
          <w:rFonts w:cstheme="minorHAnsi"/>
        </w:rPr>
        <w:t xml:space="preserve"> the</w:t>
      </w:r>
      <w:r w:rsidR="00FE1F68" w:rsidRPr="00610FF2">
        <w:rPr>
          <w:rFonts w:cstheme="minorHAnsi"/>
        </w:rPr>
        <w:t xml:space="preserve"> need to adopt GSCM by manufacturing industries an</w:t>
      </w:r>
      <w:r w:rsidR="001F446E" w:rsidRPr="00610FF2">
        <w:rPr>
          <w:rFonts w:cstheme="minorHAnsi"/>
        </w:rPr>
        <w:t>d</w:t>
      </w:r>
      <w:r w:rsidRPr="00610FF2">
        <w:rPr>
          <w:rFonts w:cstheme="minorHAnsi"/>
        </w:rPr>
        <w:t xml:space="preserve"> some key GSCM practices.   The</w:t>
      </w:r>
      <w:r w:rsidR="00FE1F68" w:rsidRPr="00610FF2">
        <w:rPr>
          <w:rFonts w:cstheme="minorHAnsi"/>
        </w:rPr>
        <w:t xml:space="preserve"> study then identifies and clarifies various potential enablers that ensure successful implementation of GSCM</w:t>
      </w:r>
      <w:r w:rsidR="001F446E" w:rsidRPr="00610FF2">
        <w:rPr>
          <w:rFonts w:cstheme="minorHAnsi"/>
        </w:rPr>
        <w:t xml:space="preserve"> practices and how they relate</w:t>
      </w:r>
      <w:r w:rsidR="00B13DDE" w:rsidRPr="00610FF2">
        <w:rPr>
          <w:rFonts w:cstheme="minorHAnsi"/>
        </w:rPr>
        <w:t xml:space="preserve"> to firm performance</w:t>
      </w:r>
      <w:r w:rsidR="00610FF2">
        <w:rPr>
          <w:rFonts w:cstheme="minorHAnsi"/>
        </w:rPr>
        <w:t>.</w:t>
      </w:r>
    </w:p>
    <w:p w:rsidR="00610FF2" w:rsidRPr="006065F5" w:rsidRDefault="00610FF2" w:rsidP="00610FF2">
      <w:pPr>
        <w:spacing w:after="0" w:line="240" w:lineRule="auto"/>
        <w:jc w:val="both"/>
        <w:rPr>
          <w:rFonts w:cstheme="minorHAnsi"/>
          <w:sz w:val="8"/>
        </w:rPr>
      </w:pPr>
    </w:p>
    <w:p w:rsidR="00C86CCF" w:rsidRDefault="00C86CCF" w:rsidP="00610FF2">
      <w:pPr>
        <w:spacing w:after="0" w:line="240" w:lineRule="auto"/>
        <w:jc w:val="both"/>
        <w:rPr>
          <w:rFonts w:cstheme="minorHAnsi"/>
          <w:b/>
          <w:u w:val="single"/>
        </w:rPr>
      </w:pPr>
      <w:r w:rsidRPr="00610FF2">
        <w:rPr>
          <w:rFonts w:cstheme="minorHAnsi"/>
          <w:b/>
          <w:u w:val="single"/>
        </w:rPr>
        <w:t xml:space="preserve">2. Literature Review </w:t>
      </w:r>
    </w:p>
    <w:p w:rsidR="00610FF2" w:rsidRPr="00C11318" w:rsidRDefault="00610FF2" w:rsidP="00610FF2">
      <w:pPr>
        <w:spacing w:after="0" w:line="240" w:lineRule="auto"/>
        <w:jc w:val="both"/>
        <w:rPr>
          <w:rFonts w:cstheme="minorHAnsi"/>
          <w:b/>
          <w:sz w:val="6"/>
          <w:szCs w:val="16"/>
          <w:u w:val="single"/>
        </w:rPr>
      </w:pPr>
    </w:p>
    <w:p w:rsidR="00C86CCF" w:rsidRPr="00825B57" w:rsidRDefault="00C86CCF" w:rsidP="00610FF2">
      <w:pPr>
        <w:spacing w:after="0" w:line="240" w:lineRule="auto"/>
        <w:jc w:val="both"/>
        <w:rPr>
          <w:rFonts w:cstheme="minorHAnsi"/>
          <w:b/>
        </w:rPr>
      </w:pPr>
      <w:r w:rsidRPr="00825B57">
        <w:rPr>
          <w:rFonts w:cstheme="minorHAnsi"/>
          <w:b/>
        </w:rPr>
        <w:t xml:space="preserve">2.1 Green supply chain management </w:t>
      </w:r>
    </w:p>
    <w:p w:rsidR="00610FF2" w:rsidRDefault="00C86CCF" w:rsidP="00610FF2">
      <w:pPr>
        <w:spacing w:after="0" w:line="240" w:lineRule="auto"/>
        <w:jc w:val="both"/>
        <w:rPr>
          <w:rFonts w:eastAsia="Times New Roman" w:cstheme="minorHAnsi"/>
        </w:rPr>
      </w:pPr>
      <w:r w:rsidRPr="00610FF2">
        <w:rPr>
          <w:rFonts w:cstheme="minorHAnsi"/>
        </w:rPr>
        <w:t>Green supply chain management according to Srivastava (2007</w:t>
      </w:r>
      <w:r w:rsidR="00D72580" w:rsidRPr="00610FF2">
        <w:rPr>
          <w:rFonts w:cstheme="minorHAnsi"/>
        </w:rPr>
        <w:t>) is</w:t>
      </w:r>
      <w:r w:rsidR="00D52F7A" w:rsidRPr="00610FF2">
        <w:rPr>
          <w:rFonts w:cstheme="minorHAnsi"/>
        </w:rPr>
        <w:t xml:space="preserve"> the integration of environmental consciousness into the traditional supply chain management, including product design, material sourcing and selection, manufacturing process, delivery of the final product to the consumers as well as end-of-life management of the prod</w:t>
      </w:r>
      <w:r w:rsidR="00A84B71" w:rsidRPr="00610FF2">
        <w:rPr>
          <w:rFonts w:cstheme="minorHAnsi"/>
        </w:rPr>
        <w:t xml:space="preserve">uct. </w:t>
      </w:r>
      <w:r w:rsidR="00D52F7A" w:rsidRPr="00610FF2">
        <w:rPr>
          <w:rFonts w:eastAsia="Times New Roman" w:cstheme="minorHAnsi"/>
        </w:rPr>
        <w:t xml:space="preserve"> Beamon (1999) defines green supply chain management as the extension of traditional supply chain management that integrates processes such as reuse, remanufacturing, green design and reduction of raw material usage with the aim at minimizing operational impact on the environment.</w:t>
      </w:r>
    </w:p>
    <w:p w:rsidR="006065F5" w:rsidRPr="006065F5" w:rsidRDefault="006065F5" w:rsidP="00610FF2">
      <w:pPr>
        <w:spacing w:after="0" w:line="240" w:lineRule="auto"/>
        <w:jc w:val="both"/>
        <w:rPr>
          <w:rFonts w:eastAsia="Times New Roman" w:cstheme="minorHAnsi"/>
          <w:sz w:val="2"/>
        </w:rPr>
      </w:pPr>
    </w:p>
    <w:p w:rsidR="003B0736" w:rsidRDefault="00D52F7A" w:rsidP="00610FF2">
      <w:pPr>
        <w:spacing w:after="0" w:line="240" w:lineRule="auto"/>
        <w:jc w:val="both"/>
        <w:rPr>
          <w:rFonts w:eastAsia="Times New Roman" w:cstheme="minorHAnsi"/>
        </w:rPr>
      </w:pPr>
      <w:r w:rsidRPr="00610FF2">
        <w:rPr>
          <w:rFonts w:eastAsia="Times New Roman" w:cstheme="minorHAnsi"/>
        </w:rPr>
        <w:t xml:space="preserve">GSCM is considered to be the elimination and minimization of negative environmental effects on air, water, and land degradation; waste of resources such as energy, materials, product and management of the end –of-life of the product (2005; </w:t>
      </w:r>
      <w:proofErr w:type="spellStart"/>
      <w:r w:rsidRPr="00610FF2">
        <w:rPr>
          <w:rFonts w:eastAsia="Times New Roman" w:cstheme="minorHAnsi"/>
        </w:rPr>
        <w:t>Eltayeb</w:t>
      </w:r>
      <w:proofErr w:type="spellEnd"/>
      <w:r w:rsidRPr="00610FF2">
        <w:rPr>
          <w:rFonts w:eastAsia="Times New Roman" w:cstheme="minorHAnsi"/>
        </w:rPr>
        <w:t xml:space="preserve"> et al., 2011).</w:t>
      </w:r>
    </w:p>
    <w:p w:rsidR="006065F5" w:rsidRPr="006065F5" w:rsidRDefault="006065F5" w:rsidP="00610FF2">
      <w:pPr>
        <w:spacing w:after="0" w:line="240" w:lineRule="auto"/>
        <w:jc w:val="both"/>
        <w:rPr>
          <w:rFonts w:eastAsia="Times New Roman" w:cstheme="minorHAnsi"/>
          <w:sz w:val="2"/>
        </w:rPr>
      </w:pPr>
    </w:p>
    <w:p w:rsidR="00C86CCF" w:rsidRDefault="00D52F7A" w:rsidP="00610FF2">
      <w:pPr>
        <w:spacing w:after="0" w:line="240" w:lineRule="auto"/>
        <w:jc w:val="both"/>
        <w:rPr>
          <w:rFonts w:eastAsia="Times New Roman" w:cstheme="minorHAnsi"/>
        </w:rPr>
      </w:pPr>
      <w:proofErr w:type="spellStart"/>
      <w:r w:rsidRPr="00610FF2">
        <w:rPr>
          <w:rFonts w:eastAsia="Times New Roman" w:cstheme="minorHAnsi"/>
        </w:rPr>
        <w:t>Roa</w:t>
      </w:r>
      <w:proofErr w:type="spellEnd"/>
      <w:r w:rsidRPr="00610FF2">
        <w:rPr>
          <w:rFonts w:eastAsia="Times New Roman" w:cstheme="minorHAnsi"/>
        </w:rPr>
        <w:t xml:space="preserve"> and Holt (2005) describe GSCM as environmental improvement strategy that comprises inbound logistics, production or internal supply chain, outbound logistics and in some cases reverse logistics including material</w:t>
      </w:r>
      <w:r w:rsidR="00FD419A" w:rsidRPr="00610FF2">
        <w:rPr>
          <w:rFonts w:eastAsia="Times New Roman" w:cstheme="minorHAnsi"/>
        </w:rPr>
        <w:t>s suppliers, service contractor</w:t>
      </w:r>
      <w:r w:rsidRPr="00610FF2">
        <w:rPr>
          <w:rFonts w:eastAsia="Times New Roman" w:cstheme="minorHAnsi"/>
        </w:rPr>
        <w:t>s</w:t>
      </w:r>
      <w:r w:rsidR="00FD419A" w:rsidRPr="00610FF2">
        <w:rPr>
          <w:rFonts w:eastAsia="Times New Roman" w:cstheme="minorHAnsi"/>
        </w:rPr>
        <w:t>,</w:t>
      </w:r>
      <w:r w:rsidRPr="00610FF2">
        <w:rPr>
          <w:rFonts w:eastAsia="Times New Roman" w:cstheme="minorHAnsi"/>
        </w:rPr>
        <w:t xml:space="preserve"> distributors and end user.</w:t>
      </w:r>
    </w:p>
    <w:p w:rsidR="00610FF2" w:rsidRPr="006065F5" w:rsidRDefault="00610FF2" w:rsidP="00610FF2">
      <w:pPr>
        <w:spacing w:after="0" w:line="240" w:lineRule="auto"/>
        <w:jc w:val="both"/>
        <w:rPr>
          <w:rFonts w:eastAsia="Times New Roman" w:cstheme="minorHAnsi"/>
          <w:sz w:val="6"/>
        </w:rPr>
      </w:pPr>
    </w:p>
    <w:p w:rsidR="00B13DDE" w:rsidRPr="00610FF2" w:rsidRDefault="00B13DDE" w:rsidP="00610FF2">
      <w:pPr>
        <w:spacing w:after="0" w:line="240" w:lineRule="auto"/>
        <w:jc w:val="both"/>
        <w:rPr>
          <w:rFonts w:eastAsia="Times New Roman" w:cstheme="minorHAnsi"/>
          <w:b/>
        </w:rPr>
      </w:pPr>
      <w:r w:rsidRPr="00610FF2">
        <w:rPr>
          <w:rFonts w:eastAsia="Times New Roman" w:cstheme="minorHAnsi"/>
          <w:b/>
        </w:rPr>
        <w:t>2.2 Need for GSCM implementation</w:t>
      </w:r>
    </w:p>
    <w:p w:rsidR="006B2335" w:rsidRDefault="00CA2D10" w:rsidP="00610FF2">
      <w:pPr>
        <w:spacing w:after="0" w:line="240" w:lineRule="auto"/>
        <w:jc w:val="both"/>
        <w:rPr>
          <w:rFonts w:eastAsia="Times New Roman" w:cstheme="minorHAnsi"/>
        </w:rPr>
      </w:pPr>
      <w:r w:rsidRPr="00610FF2">
        <w:rPr>
          <w:rFonts w:eastAsia="Times New Roman" w:cstheme="minorHAnsi"/>
        </w:rPr>
        <w:t xml:space="preserve">GSCM has emerged as an important business strategy </w:t>
      </w:r>
      <w:r w:rsidR="00474578" w:rsidRPr="00610FF2">
        <w:rPr>
          <w:rFonts w:eastAsia="Times New Roman" w:cstheme="minorHAnsi"/>
        </w:rPr>
        <w:t xml:space="preserve">that many industries are using to </w:t>
      </w:r>
      <w:r w:rsidR="00E5558B" w:rsidRPr="00610FF2">
        <w:rPr>
          <w:rFonts w:eastAsia="Times New Roman" w:cstheme="minorHAnsi"/>
        </w:rPr>
        <w:t>enhance</w:t>
      </w:r>
      <w:r w:rsidR="00474578" w:rsidRPr="00610FF2">
        <w:rPr>
          <w:rFonts w:eastAsia="Times New Roman" w:cstheme="minorHAnsi"/>
        </w:rPr>
        <w:t xml:space="preserve"> their corporate profit and </w:t>
      </w:r>
      <w:r w:rsidR="00E5558B" w:rsidRPr="00610FF2">
        <w:rPr>
          <w:rFonts w:eastAsia="Times New Roman" w:cstheme="minorHAnsi"/>
        </w:rPr>
        <w:t xml:space="preserve">achieve environmental objective by reducing waste generation </w:t>
      </w:r>
      <w:r w:rsidR="00814705" w:rsidRPr="00610FF2">
        <w:rPr>
          <w:rFonts w:eastAsia="Times New Roman" w:cstheme="minorHAnsi"/>
        </w:rPr>
        <w:t>while improving ecolo</w:t>
      </w:r>
      <w:r w:rsidR="006B2335">
        <w:rPr>
          <w:rFonts w:eastAsia="Times New Roman" w:cstheme="minorHAnsi"/>
        </w:rPr>
        <w:t>gical efficiency (</w:t>
      </w:r>
      <w:proofErr w:type="spellStart"/>
      <w:r w:rsidR="006B2335">
        <w:rPr>
          <w:rFonts w:eastAsia="Times New Roman" w:cstheme="minorHAnsi"/>
        </w:rPr>
        <w:t>Azevedo</w:t>
      </w:r>
      <w:proofErr w:type="spellEnd"/>
      <w:r w:rsidR="006B2335">
        <w:rPr>
          <w:rFonts w:eastAsia="Times New Roman" w:cstheme="minorHAnsi"/>
        </w:rPr>
        <w:t xml:space="preserve"> et al</w:t>
      </w:r>
      <w:r w:rsidR="00814705" w:rsidRPr="00610FF2">
        <w:rPr>
          <w:rFonts w:eastAsia="Times New Roman" w:cstheme="minorHAnsi"/>
        </w:rPr>
        <w:t>., 2011; Ruiz-Benitez 2017).</w:t>
      </w:r>
      <w:r w:rsidR="006B0AD7" w:rsidRPr="00610FF2">
        <w:rPr>
          <w:rFonts w:eastAsia="Times New Roman" w:cstheme="minorHAnsi"/>
        </w:rPr>
        <w:t xml:space="preserve"> Dou et al (2018) indicate that </w:t>
      </w:r>
      <w:r w:rsidR="00A5318C" w:rsidRPr="00610FF2">
        <w:rPr>
          <w:rFonts w:eastAsia="Times New Roman" w:cstheme="minorHAnsi"/>
        </w:rPr>
        <w:t xml:space="preserve">the integration of suppliers in product </w:t>
      </w:r>
      <w:r w:rsidR="001F446E" w:rsidRPr="00610FF2">
        <w:rPr>
          <w:rFonts w:eastAsia="Times New Roman" w:cstheme="minorHAnsi"/>
        </w:rPr>
        <w:t>development results</w:t>
      </w:r>
      <w:r w:rsidR="00A5318C" w:rsidRPr="00610FF2">
        <w:rPr>
          <w:rFonts w:eastAsia="Times New Roman" w:cstheme="minorHAnsi"/>
        </w:rPr>
        <w:t xml:space="preserve"> in reduced cost and time, improved environmental image and achievement of competitive advantage. </w:t>
      </w:r>
      <w:r w:rsidR="00DF0860" w:rsidRPr="00610FF2">
        <w:rPr>
          <w:rFonts w:eastAsia="Times New Roman" w:cstheme="minorHAnsi"/>
        </w:rPr>
        <w:t xml:space="preserve">GSCM implementation improves differentiation thereby increasing the market share and significant financial </w:t>
      </w:r>
      <w:r w:rsidR="00D8443A" w:rsidRPr="00610FF2">
        <w:rPr>
          <w:rFonts w:eastAsia="Times New Roman" w:cstheme="minorHAnsi"/>
        </w:rPr>
        <w:t>improvement of</w:t>
      </w:r>
      <w:r w:rsidR="00DF0860" w:rsidRPr="00610FF2">
        <w:rPr>
          <w:rFonts w:eastAsia="Times New Roman" w:cstheme="minorHAnsi"/>
        </w:rPr>
        <w:t xml:space="preserve"> the firm (Porter 1995).</w:t>
      </w:r>
      <w:r w:rsidR="00D8443A" w:rsidRPr="00610FF2">
        <w:rPr>
          <w:rFonts w:eastAsia="Times New Roman" w:cstheme="minorHAnsi"/>
        </w:rPr>
        <w:t xml:space="preserve"> Many manufacturing firms such as automobile firms engage in GSCM implementation in order to reduce pressures and for building better corporate image.</w:t>
      </w:r>
      <w:r w:rsidR="0002528B" w:rsidRPr="00610FF2">
        <w:rPr>
          <w:rFonts w:eastAsia="Times New Roman" w:cstheme="minorHAnsi"/>
        </w:rPr>
        <w:t xml:space="preserve"> GSCM implementation results in reduction or </w:t>
      </w:r>
      <w:r w:rsidR="00484E6D" w:rsidRPr="00610FF2">
        <w:rPr>
          <w:rFonts w:eastAsia="Times New Roman" w:cstheme="minorHAnsi"/>
        </w:rPr>
        <w:t>eradication</w:t>
      </w:r>
      <w:r w:rsidR="0002528B" w:rsidRPr="00610FF2">
        <w:rPr>
          <w:rFonts w:eastAsia="Times New Roman" w:cstheme="minorHAnsi"/>
        </w:rPr>
        <w:t xml:space="preserve"> of </w:t>
      </w:r>
      <w:r w:rsidR="001F446E" w:rsidRPr="00610FF2">
        <w:rPr>
          <w:rFonts w:eastAsia="Times New Roman" w:cstheme="minorHAnsi"/>
        </w:rPr>
        <w:t>environmentally hazardous</w:t>
      </w:r>
      <w:r w:rsidR="0002528B" w:rsidRPr="00610FF2">
        <w:rPr>
          <w:rFonts w:eastAsia="Times New Roman" w:cstheme="minorHAnsi"/>
        </w:rPr>
        <w:t xml:space="preserve"> materials such as lead, mercury, chromium and cadmium </w:t>
      </w:r>
      <w:r w:rsidR="00484E6D" w:rsidRPr="00610FF2">
        <w:rPr>
          <w:rFonts w:eastAsia="Times New Roman" w:cstheme="minorHAnsi"/>
        </w:rPr>
        <w:t>(</w:t>
      </w:r>
      <w:proofErr w:type="spellStart"/>
      <w:r w:rsidR="00484E6D" w:rsidRPr="00610FF2">
        <w:rPr>
          <w:rFonts w:eastAsia="Times New Roman" w:cstheme="minorHAnsi"/>
        </w:rPr>
        <w:t>Zsidisin</w:t>
      </w:r>
      <w:proofErr w:type="spellEnd"/>
      <w:r w:rsidR="00484E6D" w:rsidRPr="00610FF2">
        <w:rPr>
          <w:rFonts w:eastAsia="Times New Roman" w:cstheme="minorHAnsi"/>
        </w:rPr>
        <w:t xml:space="preserve"> and </w:t>
      </w:r>
      <w:proofErr w:type="spellStart"/>
      <w:r w:rsidR="00484E6D" w:rsidRPr="00610FF2">
        <w:rPr>
          <w:rFonts w:eastAsia="Times New Roman" w:cstheme="minorHAnsi"/>
        </w:rPr>
        <w:t>Siferd</w:t>
      </w:r>
      <w:proofErr w:type="spellEnd"/>
      <w:r w:rsidR="00484E6D" w:rsidRPr="00610FF2">
        <w:rPr>
          <w:rFonts w:eastAsia="Times New Roman" w:cstheme="minorHAnsi"/>
        </w:rPr>
        <w:t xml:space="preserve">, 2001; </w:t>
      </w:r>
      <w:proofErr w:type="spellStart"/>
      <w:r w:rsidR="00484E6D" w:rsidRPr="00610FF2">
        <w:rPr>
          <w:rFonts w:eastAsia="Times New Roman" w:cstheme="minorHAnsi"/>
        </w:rPr>
        <w:t>Singhal</w:t>
      </w:r>
      <w:proofErr w:type="spellEnd"/>
      <w:r w:rsidR="00484E6D" w:rsidRPr="00610FF2">
        <w:rPr>
          <w:rFonts w:eastAsia="Times New Roman" w:cstheme="minorHAnsi"/>
        </w:rPr>
        <w:t xml:space="preserve">, 2013). </w:t>
      </w:r>
    </w:p>
    <w:p w:rsidR="00D52F7A" w:rsidRPr="00610FF2" w:rsidRDefault="00B13DDE" w:rsidP="00610FF2">
      <w:pPr>
        <w:spacing w:after="0" w:line="240" w:lineRule="auto"/>
        <w:jc w:val="both"/>
        <w:rPr>
          <w:rFonts w:eastAsia="Times New Roman" w:cstheme="minorHAnsi"/>
          <w:b/>
        </w:rPr>
      </w:pPr>
      <w:r w:rsidRPr="00610FF2">
        <w:rPr>
          <w:rFonts w:eastAsia="Times New Roman" w:cstheme="minorHAnsi"/>
          <w:b/>
        </w:rPr>
        <w:lastRenderedPageBreak/>
        <w:t>2.3</w:t>
      </w:r>
      <w:r w:rsidR="00D52F7A" w:rsidRPr="00610FF2">
        <w:rPr>
          <w:rFonts w:eastAsia="Times New Roman" w:cstheme="minorHAnsi"/>
          <w:b/>
        </w:rPr>
        <w:t xml:space="preserve"> GSCM Practices</w:t>
      </w:r>
    </w:p>
    <w:p w:rsidR="005E3D49" w:rsidRDefault="004057F2" w:rsidP="00C27D1F">
      <w:pPr>
        <w:spacing w:after="0" w:line="240" w:lineRule="auto"/>
        <w:jc w:val="both"/>
        <w:rPr>
          <w:rFonts w:cstheme="minorHAnsi"/>
        </w:rPr>
      </w:pPr>
      <w:r w:rsidRPr="00610FF2">
        <w:rPr>
          <w:rFonts w:eastAsia="Times New Roman" w:cstheme="minorHAnsi"/>
        </w:rPr>
        <w:t xml:space="preserve">In this </w:t>
      </w:r>
      <w:r w:rsidR="001F446E" w:rsidRPr="00610FF2">
        <w:rPr>
          <w:rFonts w:eastAsia="Times New Roman" w:cstheme="minorHAnsi"/>
        </w:rPr>
        <w:t>research,</w:t>
      </w:r>
      <w:r w:rsidRPr="00610FF2">
        <w:rPr>
          <w:rFonts w:eastAsia="Times New Roman" w:cstheme="minorHAnsi"/>
        </w:rPr>
        <w:t xml:space="preserve"> the main activities involved in GSCM are eco design, green manufacturing, green purchasing and reverse logistics. </w:t>
      </w:r>
      <w:r w:rsidRPr="00610FF2">
        <w:rPr>
          <w:rFonts w:eastAsia="Times New Roman" w:cstheme="minorHAnsi"/>
          <w:b/>
        </w:rPr>
        <w:t>Eco design</w:t>
      </w:r>
      <w:r w:rsidRPr="00610FF2">
        <w:rPr>
          <w:rFonts w:eastAsia="Times New Roman" w:cstheme="minorHAnsi"/>
        </w:rPr>
        <w:t xml:space="preserve"> is a very crucial operational level in supply chain management. This is the stage where decision of the environmental impact of the product i</w:t>
      </w:r>
      <w:r w:rsidR="001F446E" w:rsidRPr="00610FF2">
        <w:rPr>
          <w:rFonts w:eastAsia="Times New Roman" w:cstheme="minorHAnsi"/>
        </w:rPr>
        <w:t>s taking. Whether a product would</w:t>
      </w:r>
      <w:r w:rsidRPr="00610FF2">
        <w:rPr>
          <w:rFonts w:eastAsia="Times New Roman" w:cstheme="minorHAnsi"/>
        </w:rPr>
        <w:t xml:space="preserve"> have </w:t>
      </w:r>
      <w:r w:rsidR="001F446E" w:rsidRPr="00610FF2">
        <w:rPr>
          <w:rFonts w:eastAsia="Times New Roman" w:cstheme="minorHAnsi"/>
        </w:rPr>
        <w:t xml:space="preserve">a positive or negative repercussion on the environment is determined </w:t>
      </w:r>
      <w:r w:rsidR="00793E1D" w:rsidRPr="00610FF2">
        <w:rPr>
          <w:rFonts w:eastAsia="Times New Roman" w:cstheme="minorHAnsi"/>
        </w:rPr>
        <w:t>by the decisions taking at</w:t>
      </w:r>
      <w:r w:rsidRPr="00610FF2">
        <w:rPr>
          <w:rFonts w:eastAsia="Times New Roman" w:cstheme="minorHAnsi"/>
        </w:rPr>
        <w:t xml:space="preserve"> the designing of the product stage. </w:t>
      </w:r>
      <w:r w:rsidR="00793E1D" w:rsidRPr="00610FF2">
        <w:rPr>
          <w:rFonts w:eastAsia="Times New Roman" w:cstheme="minorHAnsi"/>
        </w:rPr>
        <w:t>Eco design</w:t>
      </w:r>
      <w:r w:rsidR="004A2DD7" w:rsidRPr="00610FF2">
        <w:rPr>
          <w:rFonts w:eastAsia="Times New Roman" w:cstheme="minorHAnsi"/>
        </w:rPr>
        <w:t xml:space="preserve"> </w:t>
      </w:r>
      <w:r w:rsidR="00793E1D" w:rsidRPr="00610FF2">
        <w:rPr>
          <w:rFonts w:eastAsia="Times New Roman" w:cstheme="minorHAnsi"/>
        </w:rPr>
        <w:t>therefore is an</w:t>
      </w:r>
      <w:r w:rsidR="004A2DD7" w:rsidRPr="00610FF2">
        <w:rPr>
          <w:rFonts w:eastAsia="Times New Roman" w:cstheme="minorHAnsi"/>
        </w:rPr>
        <w:t xml:space="preserve"> approach to design a product to have enhanced biological quality through reduction of</w:t>
      </w:r>
      <w:r w:rsidR="00793E1D" w:rsidRPr="00610FF2">
        <w:rPr>
          <w:rFonts w:eastAsia="Times New Roman" w:cstheme="minorHAnsi"/>
        </w:rPr>
        <w:t xml:space="preserve"> hazardous substances that affect</w:t>
      </w:r>
      <w:r w:rsidR="004A2DD7" w:rsidRPr="00610FF2">
        <w:rPr>
          <w:rFonts w:eastAsia="Times New Roman" w:cstheme="minorHAnsi"/>
        </w:rPr>
        <w:t xml:space="preserve"> the environment negatively throughout the life cycle of the product (Sharma et al</w:t>
      </w:r>
      <w:r w:rsidR="00012A17" w:rsidRPr="00610FF2">
        <w:rPr>
          <w:rFonts w:eastAsia="Times New Roman" w:cstheme="minorHAnsi"/>
        </w:rPr>
        <w:t>.,</w:t>
      </w:r>
      <w:r w:rsidR="004A2DD7" w:rsidRPr="00610FF2">
        <w:rPr>
          <w:rFonts w:eastAsia="Times New Roman" w:cstheme="minorHAnsi"/>
        </w:rPr>
        <w:t xml:space="preserve"> 2017). This stage involves designing the product to avoid hazardous substances, excessiv</w:t>
      </w:r>
      <w:r w:rsidR="00793E1D" w:rsidRPr="00610FF2">
        <w:rPr>
          <w:rFonts w:eastAsia="Times New Roman" w:cstheme="minorHAnsi"/>
        </w:rPr>
        <w:t>e use of energy, excessive</w:t>
      </w:r>
      <w:r w:rsidR="004A2DD7" w:rsidRPr="00610FF2">
        <w:rPr>
          <w:rFonts w:eastAsia="Times New Roman" w:cstheme="minorHAnsi"/>
        </w:rPr>
        <w:t xml:space="preserve"> use of raw materials and design to encourage recycling, reuse and remanufacturing to perpetuate the life cycle of the product (Green et al</w:t>
      </w:r>
      <w:r w:rsidR="00012A17" w:rsidRPr="00610FF2">
        <w:rPr>
          <w:rFonts w:eastAsia="Times New Roman" w:cstheme="minorHAnsi"/>
        </w:rPr>
        <w:t>.,</w:t>
      </w:r>
      <w:r w:rsidR="004A2DD7" w:rsidRPr="00610FF2">
        <w:rPr>
          <w:rFonts w:eastAsia="Times New Roman" w:cstheme="minorHAnsi"/>
        </w:rPr>
        <w:t xml:space="preserve"> 2012). </w:t>
      </w:r>
      <w:r w:rsidR="00B36A1E" w:rsidRPr="00610FF2">
        <w:rPr>
          <w:rFonts w:eastAsia="Times New Roman" w:cstheme="minorHAnsi"/>
          <w:b/>
        </w:rPr>
        <w:t xml:space="preserve">Green manufacturing </w:t>
      </w:r>
      <w:r w:rsidR="00B36A1E" w:rsidRPr="00610FF2">
        <w:rPr>
          <w:rFonts w:eastAsia="Times New Roman" w:cstheme="minorHAnsi"/>
        </w:rPr>
        <w:t xml:space="preserve">includes application of proper technology </w:t>
      </w:r>
      <w:r w:rsidR="00ED039B" w:rsidRPr="00610FF2">
        <w:rPr>
          <w:rFonts w:eastAsia="Times New Roman" w:cstheme="minorHAnsi"/>
        </w:rPr>
        <w:t>and waste</w:t>
      </w:r>
      <w:r w:rsidR="00B36A1E" w:rsidRPr="00610FF2">
        <w:rPr>
          <w:rFonts w:cstheme="minorHAnsi"/>
        </w:rPr>
        <w:t xml:space="preserve"> management</w:t>
      </w:r>
      <w:r w:rsidR="008709C5" w:rsidRPr="00610FF2">
        <w:rPr>
          <w:rFonts w:cstheme="minorHAnsi"/>
        </w:rPr>
        <w:t xml:space="preserve"> strategy in production process with the aim to reduce environmental burden lower raw material usage, production efficiency, reduced environmental safety cost and improved public image (</w:t>
      </w:r>
      <w:proofErr w:type="spellStart"/>
      <w:r w:rsidR="008709C5" w:rsidRPr="00610FF2">
        <w:rPr>
          <w:rFonts w:cstheme="minorHAnsi"/>
        </w:rPr>
        <w:t>Ninlawan</w:t>
      </w:r>
      <w:proofErr w:type="spellEnd"/>
      <w:r w:rsidR="007D7369" w:rsidRPr="00610FF2">
        <w:rPr>
          <w:rFonts w:cstheme="minorHAnsi"/>
        </w:rPr>
        <w:t xml:space="preserve"> et al</w:t>
      </w:r>
      <w:r w:rsidR="00012A17" w:rsidRPr="00610FF2">
        <w:rPr>
          <w:rFonts w:cstheme="minorHAnsi"/>
        </w:rPr>
        <w:t>.,</w:t>
      </w:r>
      <w:r w:rsidR="007D7369" w:rsidRPr="00610FF2">
        <w:rPr>
          <w:rFonts w:cstheme="minorHAnsi"/>
        </w:rPr>
        <w:t xml:space="preserve"> 2010). Zhu et el (2005)</w:t>
      </w:r>
      <w:r w:rsidR="006C43D4" w:rsidRPr="00610FF2">
        <w:rPr>
          <w:rFonts w:cstheme="minorHAnsi"/>
        </w:rPr>
        <w:t xml:space="preserve"> </w:t>
      </w:r>
      <w:r w:rsidR="007D7369" w:rsidRPr="00610FF2">
        <w:rPr>
          <w:rFonts w:cstheme="minorHAnsi"/>
        </w:rPr>
        <w:t>posit that green manufacturing demands practitioners to design product that enable the reuse, recycle, recovery of materials; avoid the use of hazardous substance in production, reduced consumption of materials and energy</w:t>
      </w:r>
      <w:r w:rsidR="00D72580" w:rsidRPr="00610FF2">
        <w:rPr>
          <w:rFonts w:cstheme="minorHAnsi"/>
        </w:rPr>
        <w:t>.</w:t>
      </w:r>
      <w:r w:rsidR="007D7369" w:rsidRPr="00610FF2">
        <w:rPr>
          <w:rFonts w:cstheme="minorHAnsi"/>
        </w:rPr>
        <w:t xml:space="preserve"> </w:t>
      </w:r>
      <w:r w:rsidR="00B36A1E" w:rsidRPr="00610FF2">
        <w:rPr>
          <w:rFonts w:cstheme="minorHAnsi"/>
        </w:rPr>
        <w:t xml:space="preserve"> </w:t>
      </w:r>
      <w:r w:rsidR="004A2DD7" w:rsidRPr="00610FF2">
        <w:rPr>
          <w:rFonts w:cstheme="minorHAnsi"/>
        </w:rPr>
        <w:t xml:space="preserve">  </w:t>
      </w:r>
    </w:p>
    <w:p w:rsidR="00C27D1F" w:rsidRPr="00C11318" w:rsidRDefault="00C27D1F" w:rsidP="00C27D1F">
      <w:pPr>
        <w:spacing w:after="0" w:line="240" w:lineRule="auto"/>
        <w:jc w:val="both"/>
        <w:rPr>
          <w:rFonts w:cstheme="minorHAnsi"/>
          <w:sz w:val="10"/>
        </w:rPr>
      </w:pPr>
    </w:p>
    <w:p w:rsidR="008D77AB" w:rsidRDefault="005E3D49" w:rsidP="006B2335">
      <w:pPr>
        <w:spacing w:after="0" w:line="240" w:lineRule="auto"/>
        <w:jc w:val="both"/>
        <w:rPr>
          <w:rFonts w:cstheme="minorHAnsi"/>
        </w:rPr>
      </w:pPr>
      <w:r w:rsidRPr="00610FF2">
        <w:rPr>
          <w:rFonts w:cstheme="minorHAnsi"/>
          <w:b/>
        </w:rPr>
        <w:t>Green purchasing</w:t>
      </w:r>
      <w:r w:rsidR="004A2DD7" w:rsidRPr="00610FF2">
        <w:rPr>
          <w:rFonts w:cstheme="minorHAnsi"/>
          <w:b/>
        </w:rPr>
        <w:t xml:space="preserve"> </w:t>
      </w:r>
      <w:r w:rsidR="001F446E" w:rsidRPr="00610FF2">
        <w:rPr>
          <w:rFonts w:cstheme="minorHAnsi"/>
        </w:rPr>
        <w:t>can be described</w:t>
      </w:r>
      <w:r w:rsidR="006A3A59" w:rsidRPr="00610FF2">
        <w:rPr>
          <w:rFonts w:cstheme="minorHAnsi"/>
        </w:rPr>
        <w:t xml:space="preserve"> as integrating environmental consciousness into purchasing activities that certifies the products and materials purchase</w:t>
      </w:r>
      <w:r w:rsidR="00336FB7" w:rsidRPr="00610FF2">
        <w:rPr>
          <w:rFonts w:cstheme="minorHAnsi"/>
        </w:rPr>
        <w:t>d do satisfy</w:t>
      </w:r>
      <w:r w:rsidR="006A3A59" w:rsidRPr="00610FF2">
        <w:rPr>
          <w:rFonts w:cstheme="minorHAnsi"/>
        </w:rPr>
        <w:t xml:space="preserve"> the environmental objective of the buying company (Min and Galle 1997; </w:t>
      </w:r>
      <w:proofErr w:type="spellStart"/>
      <w:r w:rsidR="006A3A59" w:rsidRPr="00610FF2">
        <w:rPr>
          <w:rFonts w:cstheme="minorHAnsi"/>
        </w:rPr>
        <w:t>Kafa</w:t>
      </w:r>
      <w:proofErr w:type="spellEnd"/>
      <w:r w:rsidR="006A3A59" w:rsidRPr="00610FF2">
        <w:rPr>
          <w:rFonts w:cstheme="minorHAnsi"/>
        </w:rPr>
        <w:t xml:space="preserve"> et al</w:t>
      </w:r>
      <w:r w:rsidR="00012A17" w:rsidRPr="00610FF2">
        <w:rPr>
          <w:rFonts w:cstheme="minorHAnsi"/>
        </w:rPr>
        <w:t>.,</w:t>
      </w:r>
      <w:r w:rsidR="006A3A59" w:rsidRPr="00610FF2">
        <w:rPr>
          <w:rFonts w:cstheme="minorHAnsi"/>
        </w:rPr>
        <w:t xml:space="preserve"> 2013). In other </w:t>
      </w:r>
      <w:r w:rsidR="001F446E" w:rsidRPr="00610FF2">
        <w:rPr>
          <w:rFonts w:cstheme="minorHAnsi"/>
        </w:rPr>
        <w:t>words,</w:t>
      </w:r>
      <w:r w:rsidR="006A3A59" w:rsidRPr="00610FF2">
        <w:rPr>
          <w:rFonts w:cstheme="minorHAnsi"/>
        </w:rPr>
        <w:t xml:space="preserve"> green purchasing consist</w:t>
      </w:r>
      <w:r w:rsidR="00FD419A" w:rsidRPr="00610FF2">
        <w:rPr>
          <w:rFonts w:cstheme="minorHAnsi"/>
        </w:rPr>
        <w:t>s of activities aim at reducing, reusing</w:t>
      </w:r>
      <w:r w:rsidR="006A3A59" w:rsidRPr="00610FF2">
        <w:rPr>
          <w:rFonts w:cstheme="minorHAnsi"/>
        </w:rPr>
        <w:t xml:space="preserve"> and recycling of materials</w:t>
      </w:r>
      <w:r w:rsidR="00336FB7" w:rsidRPr="00610FF2">
        <w:rPr>
          <w:rFonts w:cstheme="minorHAnsi"/>
        </w:rPr>
        <w:t>.</w:t>
      </w:r>
      <w:r w:rsidR="009C463E" w:rsidRPr="00610FF2">
        <w:rPr>
          <w:rFonts w:cstheme="minorHAnsi"/>
        </w:rPr>
        <w:t xml:space="preserve"> The process of engaging in green purchasing includes selecting suppliers based on the environmental objectives of the buying company, collaborating with suppliers and ensuring that the purchased materials could be re</w:t>
      </w:r>
      <w:r w:rsidR="001F446E" w:rsidRPr="00610FF2">
        <w:rPr>
          <w:rFonts w:cstheme="minorHAnsi"/>
        </w:rPr>
        <w:t>-</w:t>
      </w:r>
      <w:r w:rsidR="009C463E" w:rsidRPr="00610FF2">
        <w:rPr>
          <w:rFonts w:cstheme="minorHAnsi"/>
        </w:rPr>
        <w:t>used, recycled and above all reduced the consumption of materials (</w:t>
      </w:r>
      <w:proofErr w:type="spellStart"/>
      <w:r w:rsidR="009C463E" w:rsidRPr="00610FF2">
        <w:rPr>
          <w:rFonts w:cstheme="minorHAnsi"/>
        </w:rPr>
        <w:t>Kafa</w:t>
      </w:r>
      <w:proofErr w:type="spellEnd"/>
      <w:r w:rsidR="009C463E" w:rsidRPr="00610FF2">
        <w:rPr>
          <w:rFonts w:cstheme="minorHAnsi"/>
        </w:rPr>
        <w:t xml:space="preserve"> et al</w:t>
      </w:r>
      <w:r w:rsidR="00012A17" w:rsidRPr="00610FF2">
        <w:rPr>
          <w:rFonts w:cstheme="minorHAnsi"/>
        </w:rPr>
        <w:t>.,</w:t>
      </w:r>
      <w:r w:rsidR="009C463E" w:rsidRPr="00610FF2">
        <w:rPr>
          <w:rFonts w:cstheme="minorHAnsi"/>
        </w:rPr>
        <w:t xml:space="preserve"> 2013</w:t>
      </w:r>
      <w:r w:rsidR="00AC3481" w:rsidRPr="00610FF2">
        <w:rPr>
          <w:rFonts w:cstheme="minorHAnsi"/>
        </w:rPr>
        <w:t xml:space="preserve">). </w:t>
      </w:r>
    </w:p>
    <w:p w:rsidR="006B2335" w:rsidRPr="00C11318" w:rsidRDefault="006B2335" w:rsidP="006B2335">
      <w:pPr>
        <w:spacing w:after="0" w:line="240" w:lineRule="auto"/>
        <w:jc w:val="both"/>
        <w:rPr>
          <w:rFonts w:cstheme="minorHAnsi"/>
          <w:sz w:val="10"/>
        </w:rPr>
      </w:pPr>
    </w:p>
    <w:p w:rsidR="00314F89" w:rsidRPr="00610FF2" w:rsidRDefault="00314F89" w:rsidP="006B2335">
      <w:pPr>
        <w:spacing w:after="0" w:line="240" w:lineRule="auto"/>
        <w:jc w:val="both"/>
        <w:rPr>
          <w:rFonts w:cstheme="minorHAnsi"/>
          <w:b/>
        </w:rPr>
      </w:pPr>
      <w:r w:rsidRPr="00610FF2">
        <w:rPr>
          <w:rFonts w:cstheme="minorHAnsi"/>
          <w:b/>
        </w:rPr>
        <w:t>Reverse logistics</w:t>
      </w:r>
    </w:p>
    <w:p w:rsidR="006065F5" w:rsidRDefault="008D77AB" w:rsidP="006B2335">
      <w:pPr>
        <w:spacing w:after="0" w:line="240" w:lineRule="auto"/>
        <w:jc w:val="both"/>
        <w:rPr>
          <w:rFonts w:cstheme="minorHAnsi"/>
        </w:rPr>
      </w:pPr>
      <w:r w:rsidRPr="00610FF2">
        <w:rPr>
          <w:rFonts w:cstheme="minorHAnsi"/>
        </w:rPr>
        <w:t xml:space="preserve">Reverse logistics is opposite of traditional forward logistics (Beamon, 1999). </w:t>
      </w:r>
      <w:proofErr w:type="spellStart"/>
      <w:r w:rsidRPr="00610FF2">
        <w:rPr>
          <w:rFonts w:cstheme="minorHAnsi"/>
        </w:rPr>
        <w:t>Dowlatshahi</w:t>
      </w:r>
      <w:proofErr w:type="spellEnd"/>
      <w:r w:rsidRPr="00610FF2">
        <w:rPr>
          <w:rFonts w:cstheme="minorHAnsi"/>
        </w:rPr>
        <w:t xml:space="preserve"> (200</w:t>
      </w:r>
      <w:r w:rsidR="001F446E" w:rsidRPr="00610FF2">
        <w:rPr>
          <w:rFonts w:cstheme="minorHAnsi"/>
        </w:rPr>
        <w:t>0</w:t>
      </w:r>
      <w:r w:rsidRPr="00610FF2">
        <w:rPr>
          <w:rFonts w:cstheme="minorHAnsi"/>
        </w:rPr>
        <w:t xml:space="preserve">) and Carter and </w:t>
      </w:r>
      <w:proofErr w:type="spellStart"/>
      <w:r w:rsidRPr="00610FF2">
        <w:rPr>
          <w:rFonts w:cstheme="minorHAnsi"/>
        </w:rPr>
        <w:t>Ellram</w:t>
      </w:r>
      <w:proofErr w:type="spellEnd"/>
      <w:r w:rsidRPr="00610FF2">
        <w:rPr>
          <w:rFonts w:cstheme="minorHAnsi"/>
        </w:rPr>
        <w:t xml:space="preserve"> (1999) posit that revers logistics is a process where a manufacture</w:t>
      </w:r>
      <w:r w:rsidR="00FD419A" w:rsidRPr="00610FF2">
        <w:rPr>
          <w:rFonts w:cstheme="minorHAnsi"/>
        </w:rPr>
        <w:t>r</w:t>
      </w:r>
      <w:r w:rsidRPr="00610FF2">
        <w:rPr>
          <w:rFonts w:cstheme="minorHAnsi"/>
        </w:rPr>
        <w:t xml:space="preserve"> takes back previously shipped </w:t>
      </w:r>
      <w:r w:rsidR="00EB0E9E" w:rsidRPr="00610FF2">
        <w:rPr>
          <w:rFonts w:cstheme="minorHAnsi"/>
        </w:rPr>
        <w:t>products sent</w:t>
      </w:r>
      <w:r w:rsidRPr="00610FF2">
        <w:rPr>
          <w:rFonts w:cstheme="minorHAnsi"/>
        </w:rPr>
        <w:t xml:space="preserve"> from the </w:t>
      </w:r>
      <w:r w:rsidR="00FD419A" w:rsidRPr="00610FF2">
        <w:rPr>
          <w:rFonts w:cstheme="minorHAnsi"/>
        </w:rPr>
        <w:t xml:space="preserve">point of </w:t>
      </w:r>
      <w:r w:rsidRPr="00610FF2">
        <w:rPr>
          <w:rFonts w:cstheme="minorHAnsi"/>
        </w:rPr>
        <w:t xml:space="preserve"> production to a point of consumption with the aim to remanufacture, recycle reuse or resell.  </w:t>
      </w:r>
      <w:r w:rsidR="00EB0E9E" w:rsidRPr="00610FF2">
        <w:rPr>
          <w:rFonts w:cstheme="minorHAnsi"/>
        </w:rPr>
        <w:t>If reverse logistics concept is effectively and efficiently implemented, it leads to cost saving for possible enhancement of the firm’s profitability and customer satisfaction (</w:t>
      </w:r>
      <w:proofErr w:type="spellStart"/>
      <w:r w:rsidR="00EB0E9E" w:rsidRPr="00610FF2">
        <w:rPr>
          <w:rFonts w:cstheme="minorHAnsi"/>
        </w:rPr>
        <w:t>Balon</w:t>
      </w:r>
      <w:proofErr w:type="spellEnd"/>
      <w:r w:rsidR="00EB0E9E" w:rsidRPr="00610FF2">
        <w:rPr>
          <w:rFonts w:cstheme="minorHAnsi"/>
        </w:rPr>
        <w:t xml:space="preserve"> et al., 2016). Research indicates that reverse logistics has been widely been used by automobile such as BMW</w:t>
      </w:r>
      <w:r w:rsidR="00C9516B" w:rsidRPr="00610FF2">
        <w:rPr>
          <w:rFonts w:cstheme="minorHAnsi"/>
        </w:rPr>
        <w:t>, and General Motors (</w:t>
      </w:r>
      <w:proofErr w:type="spellStart"/>
      <w:r w:rsidR="00C9516B" w:rsidRPr="00610FF2">
        <w:rPr>
          <w:rFonts w:cstheme="minorHAnsi"/>
        </w:rPr>
        <w:t>Lakshmimeera</w:t>
      </w:r>
      <w:proofErr w:type="spellEnd"/>
      <w:r w:rsidR="00C9516B" w:rsidRPr="00610FF2">
        <w:rPr>
          <w:rFonts w:cstheme="minorHAnsi"/>
        </w:rPr>
        <w:t xml:space="preserve"> and </w:t>
      </w:r>
      <w:proofErr w:type="spellStart"/>
      <w:r w:rsidR="00C9516B" w:rsidRPr="00610FF2">
        <w:rPr>
          <w:rFonts w:cstheme="minorHAnsi"/>
        </w:rPr>
        <w:t>Palanisamy</w:t>
      </w:r>
      <w:proofErr w:type="spellEnd"/>
      <w:r w:rsidR="00C9516B" w:rsidRPr="00610FF2">
        <w:rPr>
          <w:rFonts w:cstheme="minorHAnsi"/>
        </w:rPr>
        <w:t>, 2013).</w:t>
      </w:r>
    </w:p>
    <w:p w:rsidR="006B2335" w:rsidRPr="00C11318" w:rsidRDefault="00C9516B" w:rsidP="006B2335">
      <w:pPr>
        <w:spacing w:after="0" w:line="240" w:lineRule="auto"/>
        <w:jc w:val="both"/>
        <w:rPr>
          <w:rFonts w:cstheme="minorHAnsi"/>
          <w:sz w:val="10"/>
        </w:rPr>
      </w:pPr>
      <w:r w:rsidRPr="00610FF2">
        <w:rPr>
          <w:rFonts w:cstheme="minorHAnsi"/>
        </w:rPr>
        <w:t xml:space="preserve"> </w:t>
      </w:r>
    </w:p>
    <w:p w:rsidR="006B2335" w:rsidRPr="00610FF2" w:rsidRDefault="00B13DDE" w:rsidP="006B2335">
      <w:pPr>
        <w:spacing w:after="0" w:line="240" w:lineRule="auto"/>
        <w:jc w:val="both"/>
        <w:rPr>
          <w:rFonts w:cstheme="minorHAnsi"/>
          <w:b/>
        </w:rPr>
      </w:pPr>
      <w:r w:rsidRPr="00610FF2">
        <w:rPr>
          <w:rFonts w:cstheme="minorHAnsi"/>
          <w:b/>
        </w:rPr>
        <w:t>2.4</w:t>
      </w:r>
      <w:r w:rsidR="006D1E5F" w:rsidRPr="00610FF2">
        <w:rPr>
          <w:rFonts w:cstheme="minorHAnsi"/>
          <w:b/>
        </w:rPr>
        <w:t xml:space="preserve"> Analysis of Enablers of GSCM practices</w:t>
      </w:r>
    </w:p>
    <w:p w:rsidR="00D90DB8" w:rsidRDefault="00922551" w:rsidP="006B2335">
      <w:pPr>
        <w:spacing w:after="0" w:line="240" w:lineRule="auto"/>
        <w:jc w:val="both"/>
        <w:rPr>
          <w:rFonts w:cstheme="minorHAnsi"/>
        </w:rPr>
      </w:pPr>
      <w:r w:rsidRPr="00610FF2">
        <w:rPr>
          <w:rFonts w:cstheme="minorHAnsi"/>
        </w:rPr>
        <w:t xml:space="preserve">Industries are under intensive pressure from government regulations, customers, suppliers and global competitions on their environmental </w:t>
      </w:r>
      <w:r w:rsidR="001F446E" w:rsidRPr="00610FF2">
        <w:rPr>
          <w:rFonts w:cstheme="minorHAnsi"/>
        </w:rPr>
        <w:t>strategies;</w:t>
      </w:r>
      <w:r w:rsidRPr="00610FF2">
        <w:rPr>
          <w:rFonts w:cstheme="minorHAnsi"/>
        </w:rPr>
        <w:t xml:space="preserve"> this pressure has forced many industries to implement GSCM to enhance their business performance (</w:t>
      </w:r>
      <w:proofErr w:type="spellStart"/>
      <w:r w:rsidRPr="00610FF2">
        <w:rPr>
          <w:rFonts w:cstheme="minorHAnsi"/>
        </w:rPr>
        <w:t>Lpez-Gamero</w:t>
      </w:r>
      <w:proofErr w:type="spellEnd"/>
      <w:r w:rsidRPr="00610FF2">
        <w:rPr>
          <w:rFonts w:cstheme="minorHAnsi"/>
        </w:rPr>
        <w:t xml:space="preserve"> et al</w:t>
      </w:r>
      <w:r w:rsidR="00D93F01" w:rsidRPr="00610FF2">
        <w:rPr>
          <w:rFonts w:cstheme="minorHAnsi"/>
        </w:rPr>
        <w:t>.,</w:t>
      </w:r>
      <w:r w:rsidRPr="00610FF2">
        <w:rPr>
          <w:rFonts w:cstheme="minorHAnsi"/>
        </w:rPr>
        <w:t xml:space="preserve"> 2009). </w:t>
      </w:r>
      <w:r w:rsidR="001F446E" w:rsidRPr="00610FF2">
        <w:rPr>
          <w:rFonts w:cstheme="minorHAnsi"/>
        </w:rPr>
        <w:t>However, for industries to implement</w:t>
      </w:r>
      <w:r w:rsidRPr="00610FF2">
        <w:rPr>
          <w:rFonts w:cstheme="minorHAnsi"/>
        </w:rPr>
        <w:t xml:space="preserve"> </w:t>
      </w:r>
      <w:r w:rsidR="001F446E" w:rsidRPr="00610FF2">
        <w:rPr>
          <w:rFonts w:cstheme="minorHAnsi"/>
        </w:rPr>
        <w:t xml:space="preserve">GSCM, certain potential enablers </w:t>
      </w:r>
      <w:r w:rsidRPr="00610FF2">
        <w:rPr>
          <w:rFonts w:cstheme="minorHAnsi"/>
        </w:rPr>
        <w:t>must be identified and analysed (</w:t>
      </w:r>
      <w:proofErr w:type="spellStart"/>
      <w:r w:rsidRPr="00610FF2">
        <w:rPr>
          <w:rFonts w:cstheme="minorHAnsi"/>
        </w:rPr>
        <w:t>Diabet</w:t>
      </w:r>
      <w:proofErr w:type="spellEnd"/>
      <w:r w:rsidRPr="00610FF2">
        <w:rPr>
          <w:rFonts w:cstheme="minorHAnsi"/>
        </w:rPr>
        <w:t xml:space="preserve"> et al</w:t>
      </w:r>
      <w:r w:rsidR="00012A17" w:rsidRPr="00610FF2">
        <w:rPr>
          <w:rFonts w:cstheme="minorHAnsi"/>
        </w:rPr>
        <w:t>.,</w:t>
      </w:r>
      <w:r w:rsidRPr="00610FF2">
        <w:rPr>
          <w:rFonts w:cstheme="minorHAnsi"/>
        </w:rPr>
        <w:t xml:space="preserve"> 2014). In the past three decades researchers have published several papers on GSCM practices</w:t>
      </w:r>
      <w:r w:rsidR="00D90DB8" w:rsidRPr="00610FF2">
        <w:rPr>
          <w:rFonts w:cstheme="minorHAnsi"/>
        </w:rPr>
        <w:t>, pressure, barriers</w:t>
      </w:r>
      <w:r w:rsidRPr="00610FF2">
        <w:rPr>
          <w:rFonts w:cstheme="minorHAnsi"/>
        </w:rPr>
        <w:t xml:space="preserve"> and performance </w:t>
      </w:r>
      <w:r w:rsidR="00D90DB8" w:rsidRPr="00610FF2">
        <w:rPr>
          <w:rFonts w:cstheme="minorHAnsi"/>
        </w:rPr>
        <w:t xml:space="preserve">(Zhu and </w:t>
      </w:r>
      <w:proofErr w:type="spellStart"/>
      <w:r w:rsidR="00D90DB8" w:rsidRPr="00610FF2">
        <w:rPr>
          <w:rFonts w:cstheme="minorHAnsi"/>
        </w:rPr>
        <w:t>Sarkis</w:t>
      </w:r>
      <w:proofErr w:type="spellEnd"/>
      <w:r w:rsidR="00D90DB8" w:rsidRPr="00610FF2">
        <w:rPr>
          <w:rFonts w:cstheme="minorHAnsi"/>
        </w:rPr>
        <w:t>, 2004; Green et al</w:t>
      </w:r>
      <w:r w:rsidR="00D93F01" w:rsidRPr="00610FF2">
        <w:rPr>
          <w:rFonts w:cstheme="minorHAnsi"/>
        </w:rPr>
        <w:t>.,</w:t>
      </w:r>
      <w:r w:rsidR="00D90DB8" w:rsidRPr="00610FF2">
        <w:rPr>
          <w:rFonts w:cstheme="minorHAnsi"/>
        </w:rPr>
        <w:t xml:space="preserve"> 2012; </w:t>
      </w:r>
      <w:proofErr w:type="spellStart"/>
      <w:r w:rsidR="00D90DB8" w:rsidRPr="00610FF2">
        <w:rPr>
          <w:rFonts w:cstheme="minorHAnsi"/>
        </w:rPr>
        <w:t>Chiou</w:t>
      </w:r>
      <w:proofErr w:type="spellEnd"/>
      <w:r w:rsidR="00D90DB8" w:rsidRPr="00610FF2">
        <w:rPr>
          <w:rFonts w:cstheme="minorHAnsi"/>
        </w:rPr>
        <w:t xml:space="preserve"> et al</w:t>
      </w:r>
      <w:r w:rsidR="00012A17" w:rsidRPr="00610FF2">
        <w:rPr>
          <w:rFonts w:cstheme="minorHAnsi"/>
        </w:rPr>
        <w:t>.,</w:t>
      </w:r>
      <w:r w:rsidR="00D90DB8" w:rsidRPr="00610FF2">
        <w:rPr>
          <w:rFonts w:cstheme="minorHAnsi"/>
        </w:rPr>
        <w:t xml:space="preserve"> 2011) but very little studies have investigated the potential enablers of GSCM implementation (</w:t>
      </w:r>
      <w:proofErr w:type="spellStart"/>
      <w:r w:rsidR="00D90DB8" w:rsidRPr="00610FF2">
        <w:rPr>
          <w:rFonts w:cstheme="minorHAnsi"/>
        </w:rPr>
        <w:t>Diabet</w:t>
      </w:r>
      <w:proofErr w:type="spellEnd"/>
      <w:r w:rsidR="00D90DB8" w:rsidRPr="00610FF2">
        <w:rPr>
          <w:rFonts w:cstheme="minorHAnsi"/>
        </w:rPr>
        <w:t xml:space="preserve"> et al</w:t>
      </w:r>
      <w:r w:rsidR="00D93F01" w:rsidRPr="00610FF2">
        <w:rPr>
          <w:rFonts w:cstheme="minorHAnsi"/>
        </w:rPr>
        <w:t>.,</w:t>
      </w:r>
      <w:r w:rsidR="00D90DB8" w:rsidRPr="00610FF2">
        <w:rPr>
          <w:rFonts w:cstheme="minorHAnsi"/>
        </w:rPr>
        <w:t xml:space="preserve"> 2014). For this </w:t>
      </w:r>
      <w:r w:rsidR="001F446E" w:rsidRPr="00610FF2">
        <w:rPr>
          <w:rFonts w:cstheme="minorHAnsi"/>
        </w:rPr>
        <w:t>reason,</w:t>
      </w:r>
      <w:r w:rsidR="00D90DB8" w:rsidRPr="00610FF2">
        <w:rPr>
          <w:rFonts w:cstheme="minorHAnsi"/>
        </w:rPr>
        <w:t xml:space="preserve"> the focus of this research is </w:t>
      </w:r>
      <w:r w:rsidR="00224C9A" w:rsidRPr="00610FF2">
        <w:rPr>
          <w:rFonts w:cstheme="minorHAnsi"/>
        </w:rPr>
        <w:t xml:space="preserve">to </w:t>
      </w:r>
      <w:r w:rsidR="00CB23C6" w:rsidRPr="00610FF2">
        <w:rPr>
          <w:rFonts w:cstheme="minorHAnsi"/>
        </w:rPr>
        <w:t xml:space="preserve">analyse major </w:t>
      </w:r>
      <w:r w:rsidR="00D90DB8" w:rsidRPr="00610FF2">
        <w:rPr>
          <w:rFonts w:cstheme="minorHAnsi"/>
        </w:rPr>
        <w:t>enablers for GSCM implementation.</w:t>
      </w:r>
    </w:p>
    <w:p w:rsidR="006B2335" w:rsidRPr="00C11318" w:rsidRDefault="006B2335" w:rsidP="006B2335">
      <w:pPr>
        <w:spacing w:after="0" w:line="240" w:lineRule="auto"/>
        <w:jc w:val="both"/>
        <w:rPr>
          <w:rFonts w:cstheme="minorHAnsi"/>
          <w:sz w:val="10"/>
        </w:rPr>
      </w:pPr>
    </w:p>
    <w:p w:rsidR="009A6506" w:rsidRDefault="00D90DB8" w:rsidP="006B2335">
      <w:pPr>
        <w:spacing w:after="0" w:line="240" w:lineRule="auto"/>
        <w:jc w:val="both"/>
        <w:rPr>
          <w:rFonts w:cstheme="minorHAnsi"/>
        </w:rPr>
      </w:pPr>
      <w:r w:rsidRPr="00610FF2">
        <w:rPr>
          <w:rFonts w:cstheme="minorHAnsi"/>
        </w:rPr>
        <w:t xml:space="preserve">Enablers </w:t>
      </w:r>
      <w:r w:rsidR="009C7505" w:rsidRPr="00610FF2">
        <w:rPr>
          <w:rFonts w:cstheme="minorHAnsi"/>
        </w:rPr>
        <w:t>are variables that enhance the capacity and capability of fi</w:t>
      </w:r>
      <w:r w:rsidR="001F446E" w:rsidRPr="00610FF2">
        <w:rPr>
          <w:rFonts w:cstheme="minorHAnsi"/>
        </w:rPr>
        <w:t>rms to implement</w:t>
      </w:r>
      <w:r w:rsidR="00B06384" w:rsidRPr="00610FF2">
        <w:rPr>
          <w:rFonts w:cstheme="minorHAnsi"/>
        </w:rPr>
        <w:t xml:space="preserve"> green supply chain management (</w:t>
      </w:r>
      <w:proofErr w:type="spellStart"/>
      <w:r w:rsidR="00B06384" w:rsidRPr="00610FF2">
        <w:rPr>
          <w:rFonts w:cstheme="minorHAnsi"/>
        </w:rPr>
        <w:t>Diabet</w:t>
      </w:r>
      <w:proofErr w:type="spellEnd"/>
      <w:r w:rsidR="00B06384" w:rsidRPr="00610FF2">
        <w:rPr>
          <w:rFonts w:cstheme="minorHAnsi"/>
        </w:rPr>
        <w:t xml:space="preserve"> et al</w:t>
      </w:r>
      <w:r w:rsidR="00D93F01" w:rsidRPr="00610FF2">
        <w:rPr>
          <w:rFonts w:cstheme="minorHAnsi"/>
        </w:rPr>
        <w:t>.,</w:t>
      </w:r>
      <w:r w:rsidR="00B06384" w:rsidRPr="00610FF2">
        <w:rPr>
          <w:rFonts w:cstheme="minorHAnsi"/>
        </w:rPr>
        <w:t xml:space="preserve"> 2014). According to </w:t>
      </w:r>
      <w:proofErr w:type="spellStart"/>
      <w:r w:rsidR="00B06384" w:rsidRPr="00610FF2">
        <w:rPr>
          <w:rFonts w:cstheme="minorHAnsi"/>
        </w:rPr>
        <w:t>Grzybowska</w:t>
      </w:r>
      <w:proofErr w:type="spellEnd"/>
      <w:r w:rsidR="00B06384" w:rsidRPr="00610FF2">
        <w:rPr>
          <w:rFonts w:cstheme="minorHAnsi"/>
        </w:rPr>
        <w:t xml:space="preserve"> (</w:t>
      </w:r>
      <w:r w:rsidR="001F446E" w:rsidRPr="00610FF2">
        <w:rPr>
          <w:rFonts w:cstheme="minorHAnsi"/>
        </w:rPr>
        <w:t>2012),</w:t>
      </w:r>
      <w:r w:rsidR="00B06384" w:rsidRPr="00610FF2">
        <w:rPr>
          <w:rFonts w:cstheme="minorHAnsi"/>
        </w:rPr>
        <w:t xml:space="preserve"> enabler is one that enables another to achieve an end. This means that enabler refers to the ability of one variable giving the other the power and competence to function to attain the sustainable development. </w:t>
      </w:r>
      <w:proofErr w:type="spellStart"/>
      <w:r w:rsidR="00B06384" w:rsidRPr="00610FF2">
        <w:rPr>
          <w:rFonts w:cstheme="minorHAnsi"/>
        </w:rPr>
        <w:t>Diabet</w:t>
      </w:r>
      <w:proofErr w:type="spellEnd"/>
      <w:r w:rsidR="00B06384" w:rsidRPr="00610FF2">
        <w:rPr>
          <w:rFonts w:cstheme="minorHAnsi"/>
        </w:rPr>
        <w:t xml:space="preserve"> et al (2014) posit that enablers in </w:t>
      </w:r>
      <w:r w:rsidR="00A42E81" w:rsidRPr="00610FF2">
        <w:rPr>
          <w:rFonts w:cstheme="minorHAnsi"/>
        </w:rPr>
        <w:t>practice are not the same regarding their</w:t>
      </w:r>
      <w:r w:rsidR="00D93F01" w:rsidRPr="00610FF2">
        <w:rPr>
          <w:rFonts w:cstheme="minorHAnsi"/>
        </w:rPr>
        <w:t xml:space="preserve"> impact on sustainable adoption. The study further explains that it is essential that industries identify the best practices suitable for their sustainable objectives. It is in this respect that industries can have full fledge and successful GSCM implementation (Santos et al., 2013)</w:t>
      </w:r>
      <w:r w:rsidR="00012A17" w:rsidRPr="00610FF2">
        <w:rPr>
          <w:rFonts w:cstheme="minorHAnsi"/>
        </w:rPr>
        <w:t>.</w:t>
      </w:r>
      <w:r w:rsidR="00626E7A" w:rsidRPr="00610FF2">
        <w:rPr>
          <w:rFonts w:cstheme="minorHAnsi"/>
        </w:rPr>
        <w:t xml:space="preserve"> Based on literature review, this study has classified potential enablers as discussed below.</w:t>
      </w:r>
    </w:p>
    <w:p w:rsidR="006B2335" w:rsidRPr="00C11318" w:rsidRDefault="006B2335" w:rsidP="006B2335">
      <w:pPr>
        <w:spacing w:after="0" w:line="240" w:lineRule="auto"/>
        <w:jc w:val="both"/>
        <w:rPr>
          <w:rFonts w:cstheme="minorHAnsi"/>
          <w:sz w:val="10"/>
        </w:rPr>
      </w:pPr>
    </w:p>
    <w:tbl>
      <w:tblPr>
        <w:tblStyle w:val="TableGrid"/>
        <w:tblW w:w="0" w:type="auto"/>
        <w:jc w:val="center"/>
        <w:tblLook w:val="04A0" w:firstRow="1" w:lastRow="0" w:firstColumn="1" w:lastColumn="0" w:noHBand="0" w:noVBand="1"/>
      </w:tblPr>
      <w:tblGrid>
        <w:gridCol w:w="4508"/>
        <w:gridCol w:w="4508"/>
      </w:tblGrid>
      <w:tr w:rsidR="00E715EB" w:rsidRPr="00610FF2" w:rsidTr="006B2335">
        <w:trPr>
          <w:jc w:val="center"/>
        </w:trPr>
        <w:tc>
          <w:tcPr>
            <w:tcW w:w="4508" w:type="dxa"/>
          </w:tcPr>
          <w:p w:rsidR="00E715EB" w:rsidRPr="00610FF2" w:rsidRDefault="00E715EB" w:rsidP="006B2335">
            <w:pPr>
              <w:spacing w:after="0" w:line="240" w:lineRule="auto"/>
              <w:jc w:val="both"/>
              <w:rPr>
                <w:rFonts w:cstheme="minorHAnsi"/>
                <w:b/>
              </w:rPr>
            </w:pPr>
            <w:r w:rsidRPr="00610FF2">
              <w:rPr>
                <w:rFonts w:cstheme="minorHAnsi"/>
                <w:b/>
              </w:rPr>
              <w:lastRenderedPageBreak/>
              <w:t xml:space="preserve">Enablers </w:t>
            </w:r>
          </w:p>
        </w:tc>
        <w:tc>
          <w:tcPr>
            <w:tcW w:w="4508" w:type="dxa"/>
          </w:tcPr>
          <w:p w:rsidR="00E715EB" w:rsidRPr="00610FF2" w:rsidRDefault="00E715EB" w:rsidP="006B2335">
            <w:pPr>
              <w:spacing w:after="0" w:line="240" w:lineRule="auto"/>
              <w:jc w:val="both"/>
              <w:rPr>
                <w:rFonts w:cstheme="minorHAnsi"/>
                <w:b/>
              </w:rPr>
            </w:pPr>
            <w:r w:rsidRPr="00610FF2">
              <w:rPr>
                <w:rFonts w:cstheme="minorHAnsi"/>
                <w:b/>
              </w:rPr>
              <w:t>References</w:t>
            </w:r>
          </w:p>
        </w:tc>
      </w:tr>
      <w:tr w:rsidR="00E715EB" w:rsidRPr="00610FF2" w:rsidTr="006B2335">
        <w:trPr>
          <w:jc w:val="center"/>
        </w:trPr>
        <w:tc>
          <w:tcPr>
            <w:tcW w:w="4508" w:type="dxa"/>
          </w:tcPr>
          <w:p w:rsidR="00E715EB" w:rsidRPr="00610FF2" w:rsidRDefault="00E715EB" w:rsidP="006B2335">
            <w:pPr>
              <w:spacing w:after="0" w:line="240" w:lineRule="auto"/>
              <w:jc w:val="both"/>
              <w:rPr>
                <w:rFonts w:cstheme="minorHAnsi"/>
              </w:rPr>
            </w:pPr>
            <w:r w:rsidRPr="00610FF2">
              <w:rPr>
                <w:rFonts w:cstheme="minorHAnsi"/>
              </w:rPr>
              <w:t>Supplier relationship/support</w:t>
            </w:r>
          </w:p>
        </w:tc>
        <w:tc>
          <w:tcPr>
            <w:tcW w:w="4508" w:type="dxa"/>
          </w:tcPr>
          <w:p w:rsidR="00E715EB" w:rsidRPr="00610FF2" w:rsidRDefault="00E715EB" w:rsidP="006B2335">
            <w:pPr>
              <w:spacing w:after="0" w:line="240" w:lineRule="auto"/>
              <w:jc w:val="both"/>
              <w:rPr>
                <w:rFonts w:cstheme="minorHAnsi"/>
              </w:rPr>
            </w:pPr>
            <w:r w:rsidRPr="00610FF2">
              <w:rPr>
                <w:rFonts w:cstheme="minorHAnsi"/>
              </w:rPr>
              <w:t xml:space="preserve">Dubey et al. (2015) ;Pauli (1997; Dubey et al. (2014); Kumar et al (2014); </w:t>
            </w:r>
            <w:proofErr w:type="spellStart"/>
            <w:r w:rsidRPr="00610FF2">
              <w:rPr>
                <w:rFonts w:cstheme="minorHAnsi"/>
              </w:rPr>
              <w:t>Vachon</w:t>
            </w:r>
            <w:proofErr w:type="spellEnd"/>
            <w:r w:rsidRPr="00610FF2">
              <w:rPr>
                <w:rFonts w:cstheme="minorHAnsi"/>
              </w:rPr>
              <w:t xml:space="preserve"> and </w:t>
            </w:r>
            <w:proofErr w:type="spellStart"/>
            <w:r w:rsidRPr="00610FF2">
              <w:rPr>
                <w:rFonts w:cstheme="minorHAnsi"/>
              </w:rPr>
              <w:t>Klassen</w:t>
            </w:r>
            <w:proofErr w:type="spellEnd"/>
            <w:r w:rsidRPr="00610FF2">
              <w:rPr>
                <w:rFonts w:cstheme="minorHAnsi"/>
              </w:rPr>
              <w:t xml:space="preserve"> (2006); Hsu and Hsu (2009); Zhu et al. (2006)</w:t>
            </w:r>
          </w:p>
        </w:tc>
      </w:tr>
      <w:tr w:rsidR="00E715EB" w:rsidRPr="00610FF2" w:rsidTr="006B2335">
        <w:trPr>
          <w:jc w:val="center"/>
        </w:trPr>
        <w:tc>
          <w:tcPr>
            <w:tcW w:w="4508" w:type="dxa"/>
          </w:tcPr>
          <w:p w:rsidR="00E715EB" w:rsidRPr="00610FF2" w:rsidRDefault="00E715EB" w:rsidP="006B2335">
            <w:pPr>
              <w:spacing w:after="0" w:line="240" w:lineRule="auto"/>
              <w:jc w:val="both"/>
              <w:rPr>
                <w:rFonts w:cstheme="minorHAnsi"/>
              </w:rPr>
            </w:pPr>
            <w:r w:rsidRPr="00610FF2">
              <w:rPr>
                <w:rFonts w:cstheme="minorHAnsi"/>
              </w:rPr>
              <w:t xml:space="preserve">Top management commitment </w:t>
            </w:r>
          </w:p>
        </w:tc>
        <w:tc>
          <w:tcPr>
            <w:tcW w:w="4508" w:type="dxa"/>
          </w:tcPr>
          <w:p w:rsidR="00E715EB" w:rsidRPr="00610FF2" w:rsidRDefault="00E715EB" w:rsidP="006B2335">
            <w:pPr>
              <w:spacing w:after="0" w:line="240" w:lineRule="auto"/>
              <w:jc w:val="both"/>
              <w:rPr>
                <w:rFonts w:cstheme="minorHAnsi"/>
              </w:rPr>
            </w:pPr>
            <w:r w:rsidRPr="00610FF2">
              <w:rPr>
                <w:rFonts w:cstheme="minorHAnsi"/>
              </w:rPr>
              <w:t xml:space="preserve">Zhu et al (2005); Dou et al. (2018); Dubey et al. (2015); </w:t>
            </w:r>
            <w:proofErr w:type="spellStart"/>
            <w:r w:rsidRPr="00610FF2">
              <w:rPr>
                <w:rFonts w:cstheme="minorHAnsi"/>
              </w:rPr>
              <w:t>Jabbour</w:t>
            </w:r>
            <w:proofErr w:type="spellEnd"/>
            <w:r w:rsidRPr="00610FF2">
              <w:rPr>
                <w:rFonts w:cstheme="minorHAnsi"/>
              </w:rPr>
              <w:t xml:space="preserve"> and </w:t>
            </w:r>
            <w:proofErr w:type="spellStart"/>
            <w:r w:rsidRPr="00610FF2">
              <w:rPr>
                <w:rFonts w:cstheme="minorHAnsi"/>
              </w:rPr>
              <w:t>Jabbour</w:t>
            </w:r>
            <w:proofErr w:type="spellEnd"/>
            <w:r w:rsidRPr="00610FF2">
              <w:rPr>
                <w:rFonts w:cstheme="minorHAnsi"/>
              </w:rPr>
              <w:t xml:space="preserve"> (2015); Sharif and </w:t>
            </w:r>
            <w:proofErr w:type="spellStart"/>
            <w:r w:rsidRPr="00610FF2">
              <w:rPr>
                <w:rFonts w:cstheme="minorHAnsi"/>
              </w:rPr>
              <w:t>Irani</w:t>
            </w:r>
            <w:proofErr w:type="spellEnd"/>
            <w:r w:rsidRPr="00610FF2">
              <w:rPr>
                <w:rFonts w:cstheme="minorHAnsi"/>
              </w:rPr>
              <w:t xml:space="preserve">, (2012); </w:t>
            </w:r>
            <w:proofErr w:type="spellStart"/>
            <w:r w:rsidRPr="00610FF2">
              <w:rPr>
                <w:rFonts w:cstheme="minorHAnsi"/>
              </w:rPr>
              <w:t>Berkel</w:t>
            </w:r>
            <w:proofErr w:type="spellEnd"/>
            <w:r w:rsidRPr="00610FF2">
              <w:rPr>
                <w:rFonts w:cstheme="minorHAnsi"/>
              </w:rPr>
              <w:t xml:space="preserve"> (2007)</w:t>
            </w:r>
          </w:p>
        </w:tc>
      </w:tr>
      <w:tr w:rsidR="00E715EB" w:rsidRPr="00610FF2" w:rsidTr="006B2335">
        <w:trPr>
          <w:jc w:val="center"/>
        </w:trPr>
        <w:tc>
          <w:tcPr>
            <w:tcW w:w="4508" w:type="dxa"/>
          </w:tcPr>
          <w:p w:rsidR="00E715EB" w:rsidRPr="00610FF2" w:rsidRDefault="000405F6" w:rsidP="006B2335">
            <w:pPr>
              <w:spacing w:after="0" w:line="240" w:lineRule="auto"/>
              <w:jc w:val="both"/>
              <w:rPr>
                <w:rFonts w:cstheme="minorHAnsi"/>
              </w:rPr>
            </w:pPr>
            <w:r w:rsidRPr="00610FF2">
              <w:rPr>
                <w:rFonts w:cstheme="minorHAnsi"/>
              </w:rPr>
              <w:t xml:space="preserve">Customer relationship management </w:t>
            </w:r>
          </w:p>
        </w:tc>
        <w:tc>
          <w:tcPr>
            <w:tcW w:w="4508" w:type="dxa"/>
          </w:tcPr>
          <w:p w:rsidR="00E715EB" w:rsidRPr="00610FF2" w:rsidRDefault="000405F6" w:rsidP="006B2335">
            <w:pPr>
              <w:spacing w:after="0" w:line="240" w:lineRule="auto"/>
              <w:jc w:val="both"/>
              <w:rPr>
                <w:rFonts w:cstheme="minorHAnsi"/>
              </w:rPr>
            </w:pPr>
            <w:r w:rsidRPr="00610FF2">
              <w:rPr>
                <w:rFonts w:cstheme="minorHAnsi"/>
              </w:rPr>
              <w:t xml:space="preserve">Dubey et al. (2015); Li et al. (2006); </w:t>
            </w:r>
            <w:proofErr w:type="spellStart"/>
            <w:r w:rsidRPr="00610FF2">
              <w:rPr>
                <w:rFonts w:cstheme="minorHAnsi"/>
              </w:rPr>
              <w:t>Jayram</w:t>
            </w:r>
            <w:proofErr w:type="spellEnd"/>
            <w:r w:rsidRPr="00610FF2">
              <w:rPr>
                <w:rFonts w:cstheme="minorHAnsi"/>
              </w:rPr>
              <w:t xml:space="preserve"> and </w:t>
            </w:r>
            <w:proofErr w:type="spellStart"/>
            <w:r w:rsidRPr="00610FF2">
              <w:rPr>
                <w:rFonts w:cstheme="minorHAnsi"/>
              </w:rPr>
              <w:t>Avittathur</w:t>
            </w:r>
            <w:proofErr w:type="spellEnd"/>
            <w:r w:rsidRPr="00610FF2">
              <w:rPr>
                <w:rFonts w:cstheme="minorHAnsi"/>
              </w:rPr>
              <w:t xml:space="preserve"> (2015); </w:t>
            </w:r>
            <w:proofErr w:type="spellStart"/>
            <w:r w:rsidRPr="00610FF2">
              <w:rPr>
                <w:rFonts w:cstheme="minorHAnsi"/>
              </w:rPr>
              <w:t>Seuring</w:t>
            </w:r>
            <w:proofErr w:type="spellEnd"/>
            <w:r w:rsidRPr="00610FF2">
              <w:rPr>
                <w:rFonts w:cstheme="minorHAnsi"/>
              </w:rPr>
              <w:t xml:space="preserve"> et al. (2004); Zhu et al. (2008); Lee and </w:t>
            </w:r>
            <w:proofErr w:type="spellStart"/>
            <w:r w:rsidRPr="00610FF2">
              <w:rPr>
                <w:rFonts w:cstheme="minorHAnsi"/>
              </w:rPr>
              <w:t>Klassen</w:t>
            </w:r>
            <w:proofErr w:type="spellEnd"/>
            <w:r w:rsidRPr="00610FF2">
              <w:rPr>
                <w:rFonts w:cstheme="minorHAnsi"/>
              </w:rPr>
              <w:t xml:space="preserve"> (2008)</w:t>
            </w:r>
          </w:p>
        </w:tc>
      </w:tr>
      <w:tr w:rsidR="00E715EB" w:rsidRPr="00610FF2" w:rsidTr="006B2335">
        <w:trPr>
          <w:jc w:val="center"/>
        </w:trPr>
        <w:tc>
          <w:tcPr>
            <w:tcW w:w="4508" w:type="dxa"/>
          </w:tcPr>
          <w:p w:rsidR="00E715EB" w:rsidRPr="00610FF2" w:rsidRDefault="000405F6" w:rsidP="006B2335">
            <w:pPr>
              <w:spacing w:after="0" w:line="240" w:lineRule="auto"/>
              <w:jc w:val="both"/>
              <w:rPr>
                <w:rFonts w:cstheme="minorHAnsi"/>
              </w:rPr>
            </w:pPr>
            <w:r w:rsidRPr="00610FF2">
              <w:rPr>
                <w:rFonts w:cstheme="minorHAnsi"/>
              </w:rPr>
              <w:t xml:space="preserve">Information sharing </w:t>
            </w:r>
          </w:p>
        </w:tc>
        <w:tc>
          <w:tcPr>
            <w:tcW w:w="4508" w:type="dxa"/>
          </w:tcPr>
          <w:p w:rsidR="00E715EB" w:rsidRPr="00610FF2" w:rsidRDefault="000405F6" w:rsidP="006B2335">
            <w:pPr>
              <w:spacing w:after="0" w:line="240" w:lineRule="auto"/>
              <w:jc w:val="both"/>
              <w:rPr>
                <w:rFonts w:cstheme="minorHAnsi"/>
              </w:rPr>
            </w:pPr>
            <w:r w:rsidRPr="00610FF2">
              <w:rPr>
                <w:rFonts w:cstheme="minorHAnsi"/>
              </w:rPr>
              <w:t xml:space="preserve">Li et al. (2006); </w:t>
            </w:r>
            <w:proofErr w:type="spellStart"/>
            <w:r w:rsidRPr="00610FF2">
              <w:rPr>
                <w:rFonts w:cstheme="minorHAnsi"/>
              </w:rPr>
              <w:t>Towell</w:t>
            </w:r>
            <w:proofErr w:type="spellEnd"/>
            <w:r w:rsidRPr="00610FF2">
              <w:rPr>
                <w:rFonts w:cstheme="minorHAnsi"/>
              </w:rPr>
              <w:t xml:space="preserve"> (1997); </w:t>
            </w:r>
            <w:proofErr w:type="spellStart"/>
            <w:r w:rsidRPr="00610FF2">
              <w:rPr>
                <w:rFonts w:cstheme="minorHAnsi"/>
              </w:rPr>
              <w:t>Mentzer</w:t>
            </w:r>
            <w:proofErr w:type="spellEnd"/>
            <w:r w:rsidRPr="00610FF2">
              <w:rPr>
                <w:rFonts w:cstheme="minorHAnsi"/>
              </w:rPr>
              <w:t xml:space="preserve"> et al (2000); </w:t>
            </w:r>
            <w:proofErr w:type="spellStart"/>
            <w:r w:rsidRPr="00610FF2">
              <w:rPr>
                <w:rFonts w:cstheme="minorHAnsi"/>
              </w:rPr>
              <w:t>Childhouse</w:t>
            </w:r>
            <w:proofErr w:type="spellEnd"/>
            <w:r w:rsidRPr="00610FF2">
              <w:rPr>
                <w:rFonts w:cstheme="minorHAnsi"/>
              </w:rPr>
              <w:t xml:space="preserve"> and </w:t>
            </w:r>
            <w:proofErr w:type="spellStart"/>
            <w:r w:rsidRPr="00610FF2">
              <w:rPr>
                <w:rFonts w:cstheme="minorHAnsi"/>
              </w:rPr>
              <w:t>Towell</w:t>
            </w:r>
            <w:proofErr w:type="spellEnd"/>
            <w:r w:rsidRPr="00610FF2">
              <w:rPr>
                <w:rFonts w:cstheme="minorHAnsi"/>
              </w:rPr>
              <w:t xml:space="preserve"> (2003); </w:t>
            </w:r>
            <w:proofErr w:type="spellStart"/>
            <w:r w:rsidRPr="00610FF2">
              <w:rPr>
                <w:rFonts w:cstheme="minorHAnsi"/>
              </w:rPr>
              <w:t>Balsmeir</w:t>
            </w:r>
            <w:proofErr w:type="spellEnd"/>
            <w:r w:rsidRPr="00610FF2">
              <w:rPr>
                <w:rFonts w:cstheme="minorHAnsi"/>
              </w:rPr>
              <w:t xml:space="preserve"> and </w:t>
            </w:r>
            <w:proofErr w:type="spellStart"/>
            <w:r w:rsidRPr="00610FF2">
              <w:rPr>
                <w:rFonts w:cstheme="minorHAnsi"/>
              </w:rPr>
              <w:t>Voisin</w:t>
            </w:r>
            <w:proofErr w:type="spellEnd"/>
            <w:r w:rsidRPr="00610FF2">
              <w:rPr>
                <w:rFonts w:cstheme="minorHAnsi"/>
              </w:rPr>
              <w:t xml:space="preserve"> (1996)</w:t>
            </w:r>
            <w:r w:rsidR="008B2924" w:rsidRPr="00610FF2">
              <w:rPr>
                <w:rFonts w:cstheme="minorHAnsi"/>
              </w:rPr>
              <w:t xml:space="preserve">; </w:t>
            </w:r>
            <w:proofErr w:type="spellStart"/>
            <w:r w:rsidR="008B2924" w:rsidRPr="00610FF2">
              <w:rPr>
                <w:rFonts w:cstheme="minorHAnsi"/>
              </w:rPr>
              <w:t>Chizzo</w:t>
            </w:r>
            <w:proofErr w:type="spellEnd"/>
            <w:r w:rsidR="008B2924" w:rsidRPr="00610FF2">
              <w:rPr>
                <w:rFonts w:cstheme="minorHAnsi"/>
              </w:rPr>
              <w:t xml:space="preserve"> (1998); Holmberg (2003); </w:t>
            </w:r>
            <w:proofErr w:type="spellStart"/>
            <w:r w:rsidR="008B2924" w:rsidRPr="00610FF2">
              <w:rPr>
                <w:rFonts w:cstheme="minorHAnsi"/>
              </w:rPr>
              <w:t>Muduli</w:t>
            </w:r>
            <w:proofErr w:type="spellEnd"/>
            <w:r w:rsidR="008B2924" w:rsidRPr="00610FF2">
              <w:rPr>
                <w:rFonts w:cstheme="minorHAnsi"/>
              </w:rPr>
              <w:t xml:space="preserve"> (2013)</w:t>
            </w:r>
          </w:p>
        </w:tc>
      </w:tr>
      <w:tr w:rsidR="00E715EB" w:rsidRPr="00610FF2" w:rsidTr="006B2335">
        <w:trPr>
          <w:jc w:val="center"/>
        </w:trPr>
        <w:tc>
          <w:tcPr>
            <w:tcW w:w="4508" w:type="dxa"/>
          </w:tcPr>
          <w:p w:rsidR="00E715EB" w:rsidRPr="00610FF2" w:rsidRDefault="008B2924" w:rsidP="006B2335">
            <w:pPr>
              <w:spacing w:after="0" w:line="240" w:lineRule="auto"/>
              <w:jc w:val="both"/>
              <w:rPr>
                <w:rFonts w:cstheme="minorHAnsi"/>
              </w:rPr>
            </w:pPr>
            <w:r w:rsidRPr="00610FF2">
              <w:rPr>
                <w:rFonts w:cstheme="minorHAnsi"/>
              </w:rPr>
              <w:t>Government regulations</w:t>
            </w:r>
          </w:p>
        </w:tc>
        <w:tc>
          <w:tcPr>
            <w:tcW w:w="4508" w:type="dxa"/>
          </w:tcPr>
          <w:p w:rsidR="00E715EB" w:rsidRPr="00610FF2" w:rsidRDefault="008B2924" w:rsidP="006B2335">
            <w:pPr>
              <w:spacing w:after="0" w:line="240" w:lineRule="auto"/>
              <w:jc w:val="both"/>
              <w:rPr>
                <w:rFonts w:cstheme="minorHAnsi"/>
              </w:rPr>
            </w:pPr>
            <w:r w:rsidRPr="00610FF2">
              <w:rPr>
                <w:rFonts w:cstheme="minorHAnsi"/>
              </w:rPr>
              <w:t xml:space="preserve">De </w:t>
            </w:r>
            <w:proofErr w:type="spellStart"/>
            <w:r w:rsidRPr="00610FF2">
              <w:rPr>
                <w:rFonts w:cstheme="minorHAnsi"/>
              </w:rPr>
              <w:t>Britol</w:t>
            </w:r>
            <w:proofErr w:type="spellEnd"/>
            <w:r w:rsidRPr="00610FF2">
              <w:rPr>
                <w:rFonts w:cstheme="minorHAnsi"/>
              </w:rPr>
              <w:t xml:space="preserve"> et al (2002); Chan et al 2016; Lee (2010); </w:t>
            </w:r>
            <w:proofErr w:type="spellStart"/>
            <w:r w:rsidRPr="00610FF2">
              <w:rPr>
                <w:rFonts w:cstheme="minorHAnsi"/>
              </w:rPr>
              <w:t>Diabet</w:t>
            </w:r>
            <w:proofErr w:type="spellEnd"/>
            <w:r w:rsidRPr="00610FF2">
              <w:rPr>
                <w:rFonts w:cstheme="minorHAnsi"/>
              </w:rPr>
              <w:t xml:space="preserve"> et al. 2014); Hoffman (2000)</w:t>
            </w:r>
          </w:p>
        </w:tc>
      </w:tr>
      <w:tr w:rsidR="00E715EB" w:rsidRPr="00610FF2" w:rsidTr="006B2335">
        <w:trPr>
          <w:jc w:val="center"/>
        </w:trPr>
        <w:tc>
          <w:tcPr>
            <w:tcW w:w="4508" w:type="dxa"/>
          </w:tcPr>
          <w:p w:rsidR="00E715EB" w:rsidRPr="00610FF2" w:rsidRDefault="008B2924" w:rsidP="006B2335">
            <w:pPr>
              <w:spacing w:after="0" w:line="240" w:lineRule="auto"/>
              <w:jc w:val="both"/>
              <w:rPr>
                <w:rFonts w:cstheme="minorHAnsi"/>
              </w:rPr>
            </w:pPr>
            <w:r w:rsidRPr="00610FF2">
              <w:rPr>
                <w:rFonts w:cstheme="minorHAnsi"/>
              </w:rPr>
              <w:t xml:space="preserve">ISO 14001 certification </w:t>
            </w:r>
          </w:p>
        </w:tc>
        <w:tc>
          <w:tcPr>
            <w:tcW w:w="4508" w:type="dxa"/>
          </w:tcPr>
          <w:p w:rsidR="00E715EB" w:rsidRPr="00610FF2" w:rsidRDefault="008B2924" w:rsidP="006B2335">
            <w:pPr>
              <w:spacing w:after="0" w:line="240" w:lineRule="auto"/>
              <w:jc w:val="both"/>
              <w:rPr>
                <w:rFonts w:cstheme="minorHAnsi"/>
              </w:rPr>
            </w:pPr>
            <w:r w:rsidRPr="00610FF2">
              <w:rPr>
                <w:rFonts w:cstheme="minorHAnsi"/>
              </w:rPr>
              <w:t>Frankel (1998); ISO (2015); Hoffman (2000)</w:t>
            </w:r>
          </w:p>
        </w:tc>
      </w:tr>
    </w:tbl>
    <w:p w:rsidR="003B0736" w:rsidRPr="006065F5" w:rsidRDefault="003B0736" w:rsidP="003B0736">
      <w:pPr>
        <w:spacing w:after="0" w:line="240" w:lineRule="auto"/>
        <w:jc w:val="center"/>
        <w:rPr>
          <w:rFonts w:cstheme="minorHAnsi"/>
          <w:sz w:val="4"/>
        </w:rPr>
      </w:pPr>
    </w:p>
    <w:p w:rsidR="00575CA9" w:rsidRPr="006065F5" w:rsidRDefault="006B2335" w:rsidP="003B0736">
      <w:pPr>
        <w:spacing w:after="0" w:line="240" w:lineRule="auto"/>
        <w:jc w:val="center"/>
        <w:rPr>
          <w:rFonts w:cstheme="minorHAnsi"/>
        </w:rPr>
      </w:pPr>
      <w:r w:rsidRPr="006065F5">
        <w:rPr>
          <w:rFonts w:cstheme="minorHAnsi"/>
        </w:rPr>
        <w:t>Table 1: Enablers of GSCM practices</w:t>
      </w:r>
    </w:p>
    <w:p w:rsidR="003B0736" w:rsidRPr="006065F5" w:rsidRDefault="003B0736" w:rsidP="003B0736">
      <w:pPr>
        <w:spacing w:after="0" w:line="240" w:lineRule="auto"/>
        <w:jc w:val="center"/>
        <w:rPr>
          <w:rFonts w:cstheme="minorHAnsi"/>
          <w:b/>
          <w:sz w:val="6"/>
        </w:rPr>
      </w:pPr>
    </w:p>
    <w:p w:rsidR="0093737E" w:rsidRPr="00610FF2" w:rsidRDefault="0093737E" w:rsidP="006B2335">
      <w:pPr>
        <w:spacing w:after="0" w:line="240" w:lineRule="auto"/>
        <w:jc w:val="both"/>
        <w:rPr>
          <w:rFonts w:cstheme="minorHAnsi"/>
          <w:b/>
        </w:rPr>
      </w:pPr>
      <w:r w:rsidRPr="00610FF2">
        <w:rPr>
          <w:rFonts w:cstheme="minorHAnsi"/>
          <w:b/>
        </w:rPr>
        <w:t>Supplier relationship and support</w:t>
      </w:r>
      <w:r w:rsidR="00D93F01" w:rsidRPr="00610FF2">
        <w:rPr>
          <w:rFonts w:cstheme="minorHAnsi"/>
          <w:b/>
        </w:rPr>
        <w:t xml:space="preserve"> </w:t>
      </w:r>
      <w:r w:rsidR="00D90DB8" w:rsidRPr="00610FF2">
        <w:rPr>
          <w:rFonts w:cstheme="minorHAnsi"/>
          <w:b/>
        </w:rPr>
        <w:t xml:space="preserve">  </w:t>
      </w:r>
    </w:p>
    <w:p w:rsidR="009A6506" w:rsidRDefault="00C22010" w:rsidP="006B2335">
      <w:pPr>
        <w:spacing w:after="0" w:line="240" w:lineRule="auto"/>
        <w:jc w:val="both"/>
        <w:rPr>
          <w:rFonts w:cstheme="minorHAnsi"/>
        </w:rPr>
      </w:pPr>
      <w:r w:rsidRPr="00610FF2">
        <w:rPr>
          <w:rFonts w:cstheme="minorHAnsi"/>
        </w:rPr>
        <w:t>For a firm to</w:t>
      </w:r>
      <w:r w:rsidR="0093737E" w:rsidRPr="00610FF2">
        <w:rPr>
          <w:rFonts w:cstheme="minorHAnsi"/>
        </w:rPr>
        <w:t xml:space="preserve"> implement green supply chain management</w:t>
      </w:r>
      <w:r w:rsidRPr="00610FF2">
        <w:rPr>
          <w:rFonts w:cstheme="minorHAnsi"/>
        </w:rPr>
        <w:t xml:space="preserve"> successfully to</w:t>
      </w:r>
      <w:r w:rsidR="0093737E" w:rsidRPr="00610FF2">
        <w:rPr>
          <w:rFonts w:cstheme="minorHAnsi"/>
        </w:rPr>
        <w:t xml:space="preserve"> achieve the desire sustainable development, alignment of suppliers and their preparedness to adhere to focal company’s environmental objectives is very essential. Recent research findings have indicated that customers are unable to dichotomise the relationship or the role of a supplier and a manufacturer and therefore any environmental liability of a supplier is borne by the manufacturer. The constant training, auditing and monitoring of suppliers </w:t>
      </w:r>
      <w:r w:rsidR="00FD419A" w:rsidRPr="00610FF2">
        <w:rPr>
          <w:rFonts w:cstheme="minorHAnsi"/>
        </w:rPr>
        <w:t>is essential to enable these them</w:t>
      </w:r>
      <w:r w:rsidR="0093737E" w:rsidRPr="00610FF2">
        <w:rPr>
          <w:rFonts w:cstheme="minorHAnsi"/>
        </w:rPr>
        <w:t xml:space="preserve"> to understand how to become clean</w:t>
      </w:r>
      <w:r w:rsidR="00B36735" w:rsidRPr="00610FF2">
        <w:rPr>
          <w:rFonts w:cstheme="minorHAnsi"/>
        </w:rPr>
        <w:t>er and greener</w:t>
      </w:r>
      <w:r w:rsidR="0093737E" w:rsidRPr="00610FF2">
        <w:rPr>
          <w:rFonts w:cstheme="minorHAnsi"/>
        </w:rPr>
        <w:t xml:space="preserve">. </w:t>
      </w:r>
      <w:r w:rsidR="0040514E" w:rsidRPr="00610FF2">
        <w:rPr>
          <w:rFonts w:cstheme="minorHAnsi"/>
        </w:rPr>
        <w:t xml:space="preserve">Supplier relationship has therefore been identified as the most dominant and relevant enabler of GSCM ( Bai and </w:t>
      </w:r>
      <w:proofErr w:type="spellStart"/>
      <w:r w:rsidR="0040514E" w:rsidRPr="00610FF2">
        <w:rPr>
          <w:rFonts w:cstheme="minorHAnsi"/>
        </w:rPr>
        <w:t>Sarkis</w:t>
      </w:r>
      <w:proofErr w:type="spellEnd"/>
      <w:r w:rsidR="0040514E" w:rsidRPr="00610FF2">
        <w:rPr>
          <w:rFonts w:cstheme="minorHAnsi"/>
        </w:rPr>
        <w:t>, 2010; Ku et al 2010; Van Hoof and Lyon, 2013; Kumar et al., 2014; Dubey et al., 2015)</w:t>
      </w:r>
      <w:r w:rsidR="00B36735" w:rsidRPr="00610FF2">
        <w:rPr>
          <w:rFonts w:cstheme="minorHAnsi"/>
        </w:rPr>
        <w:t>.</w:t>
      </w:r>
      <w:r w:rsidR="0093737E" w:rsidRPr="00610FF2">
        <w:rPr>
          <w:rFonts w:cstheme="minorHAnsi"/>
        </w:rPr>
        <w:t xml:space="preserve"> </w:t>
      </w:r>
      <w:r w:rsidRPr="00610FF2">
        <w:rPr>
          <w:rFonts w:cstheme="minorHAnsi"/>
        </w:rPr>
        <w:t>Therefore,</w:t>
      </w:r>
      <w:r w:rsidR="00A95498" w:rsidRPr="00610FF2">
        <w:rPr>
          <w:rFonts w:cstheme="minorHAnsi"/>
        </w:rPr>
        <w:t xml:space="preserve"> a </w:t>
      </w:r>
      <w:r w:rsidRPr="00610FF2">
        <w:rPr>
          <w:rFonts w:cstheme="minorHAnsi"/>
        </w:rPr>
        <w:t>long-term</w:t>
      </w:r>
      <w:r w:rsidR="00A95498" w:rsidRPr="00610FF2">
        <w:rPr>
          <w:rFonts w:cstheme="minorHAnsi"/>
        </w:rPr>
        <w:t xml:space="preserve"> relationship between focal firm and its suppliers </w:t>
      </w:r>
      <w:r w:rsidR="00B66D81" w:rsidRPr="00610FF2">
        <w:rPr>
          <w:rFonts w:cstheme="minorHAnsi"/>
        </w:rPr>
        <w:t>leverages the strategic and operational efforts and capacities of the supply chain partners and this helps them to achieve their business objectives</w:t>
      </w:r>
      <w:r w:rsidR="00BD2E91" w:rsidRPr="00610FF2">
        <w:rPr>
          <w:rFonts w:cstheme="minorHAnsi"/>
        </w:rPr>
        <w:t xml:space="preserve">. </w:t>
      </w:r>
    </w:p>
    <w:p w:rsidR="006B2335" w:rsidRPr="006065F5" w:rsidRDefault="006B2335" w:rsidP="006B2335">
      <w:pPr>
        <w:spacing w:after="0" w:line="240" w:lineRule="auto"/>
        <w:jc w:val="both"/>
        <w:rPr>
          <w:rFonts w:cstheme="minorHAnsi"/>
          <w:sz w:val="6"/>
        </w:rPr>
      </w:pPr>
    </w:p>
    <w:p w:rsidR="0085045E" w:rsidRPr="00610FF2" w:rsidRDefault="00B36735" w:rsidP="006B2335">
      <w:pPr>
        <w:spacing w:after="0" w:line="240" w:lineRule="auto"/>
        <w:rPr>
          <w:rFonts w:cstheme="minorHAnsi"/>
          <w:b/>
        </w:rPr>
      </w:pPr>
      <w:r w:rsidRPr="00610FF2">
        <w:rPr>
          <w:rFonts w:cstheme="minorHAnsi"/>
          <w:b/>
        </w:rPr>
        <w:t xml:space="preserve">Top management commitment </w:t>
      </w:r>
      <w:r w:rsidR="0093737E" w:rsidRPr="00610FF2">
        <w:rPr>
          <w:rFonts w:cstheme="minorHAnsi"/>
          <w:b/>
        </w:rPr>
        <w:t xml:space="preserve"> </w:t>
      </w:r>
    </w:p>
    <w:p w:rsidR="00B36735" w:rsidRDefault="00FE62F2" w:rsidP="006B2335">
      <w:pPr>
        <w:spacing w:after="0" w:line="240" w:lineRule="auto"/>
        <w:jc w:val="both"/>
        <w:rPr>
          <w:rFonts w:cstheme="minorHAnsi"/>
        </w:rPr>
      </w:pPr>
      <w:r w:rsidRPr="00610FF2">
        <w:rPr>
          <w:rFonts w:cstheme="minorHAnsi"/>
        </w:rPr>
        <w:t xml:space="preserve">Management commitment </w:t>
      </w:r>
      <w:r w:rsidR="00A95498" w:rsidRPr="00610FF2">
        <w:rPr>
          <w:rFonts w:cstheme="minorHAnsi"/>
        </w:rPr>
        <w:t xml:space="preserve">is a vital variable for successful implementation of GSCM </w:t>
      </w:r>
      <w:r w:rsidR="00B66D81" w:rsidRPr="00610FF2">
        <w:rPr>
          <w:rFonts w:cstheme="minorHAnsi"/>
        </w:rPr>
        <w:t>(Zhu</w:t>
      </w:r>
      <w:r w:rsidR="00A95498" w:rsidRPr="00610FF2">
        <w:rPr>
          <w:rFonts w:cstheme="minorHAnsi"/>
        </w:rPr>
        <w:t xml:space="preserve"> et al</w:t>
      </w:r>
      <w:r w:rsidR="00B66D81" w:rsidRPr="00610FF2">
        <w:rPr>
          <w:rFonts w:cstheme="minorHAnsi"/>
        </w:rPr>
        <w:t>.,</w:t>
      </w:r>
      <w:r w:rsidR="00A95498" w:rsidRPr="00610FF2">
        <w:rPr>
          <w:rFonts w:cstheme="minorHAnsi"/>
        </w:rPr>
        <w:t xml:space="preserve"> 2005; Dou, Zhu and </w:t>
      </w:r>
      <w:proofErr w:type="spellStart"/>
      <w:r w:rsidR="00A95498" w:rsidRPr="00610FF2">
        <w:rPr>
          <w:rFonts w:cstheme="minorHAnsi"/>
        </w:rPr>
        <w:t>Sarkis</w:t>
      </w:r>
      <w:proofErr w:type="spellEnd"/>
      <w:r w:rsidR="00A95498" w:rsidRPr="00610FF2">
        <w:rPr>
          <w:rFonts w:cstheme="minorHAnsi"/>
        </w:rPr>
        <w:t>, 2018).</w:t>
      </w:r>
      <w:r w:rsidRPr="00610FF2">
        <w:rPr>
          <w:rFonts w:cstheme="minorHAnsi"/>
        </w:rPr>
        <w:t xml:space="preserve"> </w:t>
      </w:r>
      <w:r w:rsidR="00B66D81" w:rsidRPr="00610FF2">
        <w:rPr>
          <w:rFonts w:cstheme="minorHAnsi"/>
        </w:rPr>
        <w:t>According to Dubey et al (</w:t>
      </w:r>
      <w:r w:rsidR="00C22010" w:rsidRPr="00610FF2">
        <w:rPr>
          <w:rFonts w:cstheme="minorHAnsi"/>
        </w:rPr>
        <w:t>2015),</w:t>
      </w:r>
      <w:r w:rsidR="00B66D81" w:rsidRPr="00610FF2">
        <w:rPr>
          <w:rFonts w:cstheme="minorHAnsi"/>
        </w:rPr>
        <w:t xml:space="preserve"> top management of supply chain partner</w:t>
      </w:r>
      <w:r w:rsidR="005D00D3" w:rsidRPr="00610FF2">
        <w:rPr>
          <w:rFonts w:cstheme="minorHAnsi"/>
        </w:rPr>
        <w:t>s</w:t>
      </w:r>
      <w:r w:rsidR="00B66D81" w:rsidRPr="00610FF2">
        <w:rPr>
          <w:rFonts w:cstheme="minorHAnsi"/>
        </w:rPr>
        <w:t xml:space="preserve"> must always align </w:t>
      </w:r>
      <w:r w:rsidR="005D00D3" w:rsidRPr="00610FF2">
        <w:rPr>
          <w:rFonts w:cstheme="minorHAnsi"/>
        </w:rPr>
        <w:t>their</w:t>
      </w:r>
      <w:r w:rsidR="00B66D81" w:rsidRPr="00610FF2">
        <w:rPr>
          <w:rFonts w:cstheme="minorHAnsi"/>
        </w:rPr>
        <w:t xml:space="preserve"> business objective to the direction of </w:t>
      </w:r>
      <w:r w:rsidR="000F32CB" w:rsidRPr="00610FF2">
        <w:rPr>
          <w:rFonts w:cstheme="minorHAnsi"/>
        </w:rPr>
        <w:t>customer’s</w:t>
      </w:r>
      <w:r w:rsidR="00B66D81" w:rsidRPr="00610FF2">
        <w:rPr>
          <w:rFonts w:cstheme="minorHAnsi"/>
        </w:rPr>
        <w:t xml:space="preserve"> interest, therefore ensuring the environmental factor in their bu</w:t>
      </w:r>
      <w:r w:rsidR="005D00D3" w:rsidRPr="00610FF2">
        <w:rPr>
          <w:rFonts w:cstheme="minorHAnsi"/>
        </w:rPr>
        <w:t>siness strategic decisions</w:t>
      </w:r>
      <w:r w:rsidR="00B66D81" w:rsidRPr="00610FF2">
        <w:rPr>
          <w:rFonts w:cstheme="minorHAnsi"/>
        </w:rPr>
        <w:t xml:space="preserve">. </w:t>
      </w:r>
      <w:r w:rsidR="00C22010" w:rsidRPr="00610FF2">
        <w:rPr>
          <w:rFonts w:cstheme="minorHAnsi"/>
        </w:rPr>
        <w:t>Management</w:t>
      </w:r>
      <w:r w:rsidR="000F32CB" w:rsidRPr="00610FF2">
        <w:rPr>
          <w:rFonts w:cstheme="minorHAnsi"/>
        </w:rPr>
        <w:t xml:space="preserve"> belief</w:t>
      </w:r>
      <w:r w:rsidR="00C22010" w:rsidRPr="00610FF2">
        <w:rPr>
          <w:rFonts w:cstheme="minorHAnsi"/>
        </w:rPr>
        <w:t>s, practices and commitments are pivotal</w:t>
      </w:r>
      <w:r w:rsidR="000F32CB" w:rsidRPr="00610FF2">
        <w:rPr>
          <w:rFonts w:cstheme="minorHAnsi"/>
        </w:rPr>
        <w:t xml:space="preserve"> for GSCM implementation (</w:t>
      </w:r>
      <w:proofErr w:type="spellStart"/>
      <w:r w:rsidR="000F32CB" w:rsidRPr="00610FF2">
        <w:rPr>
          <w:rFonts w:cstheme="minorHAnsi"/>
        </w:rPr>
        <w:t>Abdulrahman</w:t>
      </w:r>
      <w:proofErr w:type="spellEnd"/>
      <w:r w:rsidR="000F32CB" w:rsidRPr="00610FF2">
        <w:rPr>
          <w:rFonts w:cstheme="minorHAnsi"/>
        </w:rPr>
        <w:t xml:space="preserve"> et al., 2014; </w:t>
      </w:r>
      <w:proofErr w:type="spellStart"/>
      <w:r w:rsidR="000F32CB" w:rsidRPr="00610FF2">
        <w:rPr>
          <w:rFonts w:cstheme="minorHAnsi"/>
        </w:rPr>
        <w:t>Jabbour</w:t>
      </w:r>
      <w:proofErr w:type="spellEnd"/>
      <w:r w:rsidR="000F32CB" w:rsidRPr="00610FF2">
        <w:rPr>
          <w:rFonts w:cstheme="minorHAnsi"/>
        </w:rPr>
        <w:t xml:space="preserve"> and </w:t>
      </w:r>
      <w:proofErr w:type="spellStart"/>
      <w:r w:rsidR="000F32CB" w:rsidRPr="00610FF2">
        <w:rPr>
          <w:rFonts w:cstheme="minorHAnsi"/>
        </w:rPr>
        <w:t>Jabbour</w:t>
      </w:r>
      <w:proofErr w:type="spellEnd"/>
      <w:r w:rsidR="000F32CB" w:rsidRPr="00610FF2">
        <w:rPr>
          <w:rFonts w:cstheme="minorHAnsi"/>
        </w:rPr>
        <w:t xml:space="preserve"> 2015). If top management due to their commitment to GSCM implementation spells out environmental policy, it makes every employee aware of the focal company environmental strategies. Further, GSCM implementation would be successful if top management set aside special fund </w:t>
      </w:r>
      <w:r w:rsidR="005D00D3" w:rsidRPr="00610FF2">
        <w:rPr>
          <w:rFonts w:cstheme="minorHAnsi"/>
        </w:rPr>
        <w:t>for green technology investment.</w:t>
      </w:r>
      <w:r w:rsidR="000F32CB" w:rsidRPr="00610FF2">
        <w:rPr>
          <w:rFonts w:cstheme="minorHAnsi"/>
        </w:rPr>
        <w:t xml:space="preserve"> </w:t>
      </w:r>
      <w:r w:rsidR="005D00D3" w:rsidRPr="00610FF2">
        <w:rPr>
          <w:rFonts w:cstheme="minorHAnsi"/>
        </w:rPr>
        <w:t>Top</w:t>
      </w:r>
      <w:r w:rsidR="00C22010" w:rsidRPr="00610FF2">
        <w:rPr>
          <w:rFonts w:cstheme="minorHAnsi"/>
        </w:rPr>
        <w:t xml:space="preserve"> management ought to show</w:t>
      </w:r>
      <w:r w:rsidR="0013252C" w:rsidRPr="00610FF2">
        <w:rPr>
          <w:rFonts w:cstheme="minorHAnsi"/>
        </w:rPr>
        <w:t xml:space="preserve"> positive attitude </w:t>
      </w:r>
      <w:r w:rsidR="005D00D3" w:rsidRPr="00610FF2">
        <w:rPr>
          <w:rFonts w:cstheme="minorHAnsi"/>
        </w:rPr>
        <w:t xml:space="preserve">towards green practices (Dubey et al., 2015). Management commitment is all about </w:t>
      </w:r>
      <w:r w:rsidR="00DD31AC" w:rsidRPr="00610FF2">
        <w:rPr>
          <w:rFonts w:cstheme="minorHAnsi"/>
        </w:rPr>
        <w:t xml:space="preserve">establishing environmental policies and goals to provide materials, resources and training </w:t>
      </w:r>
      <w:r w:rsidR="003B0736">
        <w:rPr>
          <w:rFonts w:cstheme="minorHAnsi"/>
        </w:rPr>
        <w:t>to stimulate improvement</w:t>
      </w:r>
      <w:r w:rsidR="00B861E3" w:rsidRPr="00610FF2">
        <w:rPr>
          <w:rFonts w:cstheme="minorHAnsi"/>
        </w:rPr>
        <w:t xml:space="preserve"> (Sharif and </w:t>
      </w:r>
      <w:proofErr w:type="spellStart"/>
      <w:r w:rsidR="00B861E3" w:rsidRPr="00610FF2">
        <w:rPr>
          <w:rFonts w:cstheme="minorHAnsi"/>
        </w:rPr>
        <w:t>Irani</w:t>
      </w:r>
      <w:proofErr w:type="spellEnd"/>
      <w:r w:rsidR="00B861E3" w:rsidRPr="00610FF2">
        <w:rPr>
          <w:rFonts w:cstheme="minorHAnsi"/>
        </w:rPr>
        <w:t>, 2012; Dubey et al 2015).</w:t>
      </w:r>
    </w:p>
    <w:p w:rsidR="006B2335" w:rsidRPr="006065F5" w:rsidRDefault="006B2335" w:rsidP="006B2335">
      <w:pPr>
        <w:spacing w:after="0" w:line="240" w:lineRule="auto"/>
        <w:jc w:val="both"/>
        <w:rPr>
          <w:rFonts w:cstheme="minorHAnsi"/>
          <w:sz w:val="6"/>
        </w:rPr>
      </w:pPr>
    </w:p>
    <w:p w:rsidR="00B861E3" w:rsidRPr="00610FF2" w:rsidRDefault="00B861E3" w:rsidP="006B2335">
      <w:pPr>
        <w:spacing w:after="0" w:line="240" w:lineRule="auto"/>
        <w:jc w:val="both"/>
        <w:rPr>
          <w:rFonts w:cstheme="minorHAnsi"/>
          <w:b/>
        </w:rPr>
      </w:pPr>
      <w:r w:rsidRPr="00610FF2">
        <w:rPr>
          <w:rFonts w:cstheme="minorHAnsi"/>
          <w:b/>
        </w:rPr>
        <w:t xml:space="preserve">Customer relationship management </w:t>
      </w:r>
    </w:p>
    <w:p w:rsidR="00E715EB" w:rsidRDefault="00967C30" w:rsidP="006B2335">
      <w:pPr>
        <w:spacing w:after="0" w:line="240" w:lineRule="auto"/>
        <w:jc w:val="both"/>
        <w:rPr>
          <w:rFonts w:cstheme="minorHAnsi"/>
        </w:rPr>
      </w:pPr>
      <w:r w:rsidRPr="00610FF2">
        <w:rPr>
          <w:rFonts w:cstheme="minorHAnsi"/>
        </w:rPr>
        <w:t xml:space="preserve">Over the last three </w:t>
      </w:r>
      <w:r w:rsidR="00C22010" w:rsidRPr="00610FF2">
        <w:rPr>
          <w:rFonts w:cstheme="minorHAnsi"/>
        </w:rPr>
        <w:t>decades,</w:t>
      </w:r>
      <w:r w:rsidRPr="00610FF2">
        <w:rPr>
          <w:rFonts w:cstheme="minorHAnsi"/>
        </w:rPr>
        <w:t xml:space="preserve"> customers have become more aware and informed of the environmental impact of the produ</w:t>
      </w:r>
      <w:r w:rsidR="00C22010" w:rsidRPr="00610FF2">
        <w:rPr>
          <w:rFonts w:cstheme="minorHAnsi"/>
        </w:rPr>
        <w:t>ct they purchase. They want</w:t>
      </w:r>
      <w:r w:rsidRPr="00610FF2">
        <w:rPr>
          <w:rFonts w:cstheme="minorHAnsi"/>
        </w:rPr>
        <w:t xml:space="preserve"> to ensure that the final disposal of the product is </w:t>
      </w:r>
      <w:r w:rsidR="00FD419A" w:rsidRPr="00610FF2">
        <w:rPr>
          <w:rFonts w:cstheme="minorHAnsi"/>
        </w:rPr>
        <w:t>done</w:t>
      </w:r>
      <w:r w:rsidRPr="00610FF2">
        <w:rPr>
          <w:rFonts w:cstheme="minorHAnsi"/>
        </w:rPr>
        <w:t xml:space="preserve"> in a way that will not negatively </w:t>
      </w:r>
      <w:r w:rsidR="00C22010" w:rsidRPr="00610FF2">
        <w:rPr>
          <w:rFonts w:cstheme="minorHAnsi"/>
        </w:rPr>
        <w:t>affect</w:t>
      </w:r>
      <w:r w:rsidRPr="00610FF2">
        <w:rPr>
          <w:rFonts w:cstheme="minorHAnsi"/>
        </w:rPr>
        <w:t xml:space="preserve"> the natural environment. More especially</w:t>
      </w:r>
      <w:r w:rsidR="00D57D2F" w:rsidRPr="00610FF2">
        <w:rPr>
          <w:rFonts w:cstheme="minorHAnsi"/>
        </w:rPr>
        <w:t>, customers</w:t>
      </w:r>
      <w:r w:rsidRPr="00610FF2">
        <w:rPr>
          <w:rFonts w:cstheme="minorHAnsi"/>
        </w:rPr>
        <w:t xml:space="preserve"> in developed world are more conscious on environmental </w:t>
      </w:r>
      <w:r w:rsidR="00D57D2F" w:rsidRPr="00610FF2">
        <w:rPr>
          <w:rFonts w:cstheme="minorHAnsi"/>
        </w:rPr>
        <w:t xml:space="preserve">impact of the product they </w:t>
      </w:r>
      <w:r w:rsidR="00C22010" w:rsidRPr="00610FF2">
        <w:rPr>
          <w:rFonts w:cstheme="minorHAnsi"/>
        </w:rPr>
        <w:t>buy</w:t>
      </w:r>
      <w:r w:rsidR="00D57D2F" w:rsidRPr="00610FF2">
        <w:rPr>
          <w:rFonts w:cstheme="minorHAnsi"/>
        </w:rPr>
        <w:t xml:space="preserve"> hence firms must be more proactive in adopting practices that </w:t>
      </w:r>
      <w:r w:rsidR="00850817" w:rsidRPr="00610FF2">
        <w:rPr>
          <w:rFonts w:cstheme="minorHAnsi"/>
        </w:rPr>
        <w:t>seek</w:t>
      </w:r>
      <w:r w:rsidR="00D57D2F" w:rsidRPr="00610FF2">
        <w:rPr>
          <w:rFonts w:cstheme="minorHAnsi"/>
        </w:rPr>
        <w:t xml:space="preserve"> to protect the natural environment</w:t>
      </w:r>
      <w:r w:rsidR="008C324B" w:rsidRPr="00610FF2">
        <w:rPr>
          <w:rFonts w:cstheme="minorHAnsi"/>
        </w:rPr>
        <w:t xml:space="preserve"> (</w:t>
      </w:r>
      <w:proofErr w:type="spellStart"/>
      <w:r w:rsidR="008C324B" w:rsidRPr="00610FF2">
        <w:rPr>
          <w:rFonts w:cstheme="minorHAnsi"/>
        </w:rPr>
        <w:t>Dubbey</w:t>
      </w:r>
      <w:proofErr w:type="spellEnd"/>
      <w:r w:rsidR="008C324B" w:rsidRPr="00610FF2">
        <w:rPr>
          <w:rFonts w:cstheme="minorHAnsi"/>
        </w:rPr>
        <w:t xml:space="preserve"> et al., 2015).</w:t>
      </w:r>
      <w:r w:rsidR="00850817" w:rsidRPr="00610FF2">
        <w:rPr>
          <w:rFonts w:cstheme="minorHAnsi"/>
        </w:rPr>
        <w:t xml:space="preserve"> Customer relationship for the purpose of GSCM implementation comprises the overall </w:t>
      </w:r>
      <w:r w:rsidR="00850817" w:rsidRPr="00610FF2">
        <w:rPr>
          <w:rFonts w:cstheme="minorHAnsi"/>
        </w:rPr>
        <w:lastRenderedPageBreak/>
        <w:t>practices that ensure the management of customer complaint, building long-term relationships with customers and improving customer satisfaction (Li et al 2006). According to Dubey et al (</w:t>
      </w:r>
      <w:r w:rsidR="00C22010" w:rsidRPr="00610FF2">
        <w:rPr>
          <w:rFonts w:cstheme="minorHAnsi"/>
        </w:rPr>
        <w:t>2015),</w:t>
      </w:r>
      <w:r w:rsidR="00850817" w:rsidRPr="00610FF2">
        <w:rPr>
          <w:rFonts w:cstheme="minorHAnsi"/>
        </w:rPr>
        <w:t xml:space="preserve"> the interface with customers by firms provides valuable </w:t>
      </w:r>
      <w:r w:rsidR="00C22010" w:rsidRPr="00610FF2">
        <w:rPr>
          <w:rFonts w:cstheme="minorHAnsi"/>
        </w:rPr>
        <w:t>input, which</w:t>
      </w:r>
      <w:r w:rsidR="00850817" w:rsidRPr="00610FF2">
        <w:rPr>
          <w:rFonts w:cstheme="minorHAnsi"/>
        </w:rPr>
        <w:t xml:space="preserve"> helps to implement GSCM</w:t>
      </w:r>
      <w:r w:rsidR="004C0594" w:rsidRPr="00610FF2">
        <w:rPr>
          <w:rFonts w:cstheme="minorHAnsi"/>
        </w:rPr>
        <w:t xml:space="preserve">. Study by </w:t>
      </w:r>
      <w:proofErr w:type="spellStart"/>
      <w:r w:rsidR="004C0594" w:rsidRPr="00610FF2">
        <w:rPr>
          <w:rFonts w:cstheme="minorHAnsi"/>
        </w:rPr>
        <w:t>Jayram</w:t>
      </w:r>
      <w:proofErr w:type="spellEnd"/>
      <w:r w:rsidR="004C0594" w:rsidRPr="00610FF2">
        <w:rPr>
          <w:rFonts w:cstheme="minorHAnsi"/>
        </w:rPr>
        <w:t xml:space="preserve"> and </w:t>
      </w:r>
      <w:proofErr w:type="spellStart"/>
      <w:r w:rsidR="004C0594" w:rsidRPr="00610FF2">
        <w:rPr>
          <w:rFonts w:cstheme="minorHAnsi"/>
        </w:rPr>
        <w:t>Avittathur</w:t>
      </w:r>
      <w:proofErr w:type="spellEnd"/>
      <w:r w:rsidR="004C0594" w:rsidRPr="00610FF2">
        <w:rPr>
          <w:rFonts w:cstheme="minorHAnsi"/>
        </w:rPr>
        <w:t xml:space="preserve"> (2015) that focused on Indian manufacturing sector linked environmental policies to customer actions and sustainability strategies. </w:t>
      </w:r>
    </w:p>
    <w:p w:rsidR="006B2335" w:rsidRPr="006065F5" w:rsidRDefault="006B2335" w:rsidP="006B2335">
      <w:pPr>
        <w:spacing w:after="0" w:line="240" w:lineRule="auto"/>
        <w:jc w:val="both"/>
        <w:rPr>
          <w:rFonts w:cstheme="minorHAnsi"/>
          <w:sz w:val="6"/>
        </w:rPr>
      </w:pPr>
    </w:p>
    <w:p w:rsidR="004E598F" w:rsidRPr="00610FF2" w:rsidRDefault="004E598F" w:rsidP="006B2335">
      <w:pPr>
        <w:tabs>
          <w:tab w:val="left" w:pos="5715"/>
        </w:tabs>
        <w:spacing w:after="0" w:line="240" w:lineRule="auto"/>
        <w:jc w:val="both"/>
        <w:rPr>
          <w:rFonts w:cstheme="minorHAnsi"/>
          <w:b/>
        </w:rPr>
      </w:pPr>
      <w:r w:rsidRPr="00610FF2">
        <w:rPr>
          <w:rFonts w:cstheme="minorHAnsi"/>
          <w:b/>
        </w:rPr>
        <w:t xml:space="preserve">Information sharing </w:t>
      </w:r>
      <w:r w:rsidR="00C22010" w:rsidRPr="00610FF2">
        <w:rPr>
          <w:rFonts w:cstheme="minorHAnsi"/>
          <w:b/>
        </w:rPr>
        <w:tab/>
      </w:r>
    </w:p>
    <w:p w:rsidR="0026771A" w:rsidRDefault="002112D7" w:rsidP="006B2335">
      <w:pPr>
        <w:spacing w:after="0" w:line="240" w:lineRule="auto"/>
        <w:jc w:val="both"/>
        <w:rPr>
          <w:rFonts w:cstheme="minorHAnsi"/>
        </w:rPr>
      </w:pPr>
      <w:r w:rsidRPr="00610FF2">
        <w:rPr>
          <w:rFonts w:cstheme="minorHAnsi"/>
        </w:rPr>
        <w:t>The extent to which appropriate information is communicated to</w:t>
      </w:r>
      <w:r w:rsidR="004D1AE1" w:rsidRPr="00610FF2">
        <w:rPr>
          <w:rFonts w:cstheme="minorHAnsi"/>
        </w:rPr>
        <w:t xml:space="preserve"> supply chin partner</w:t>
      </w:r>
      <w:r w:rsidRPr="00610FF2">
        <w:rPr>
          <w:rFonts w:cstheme="minorHAnsi"/>
        </w:rPr>
        <w:t>s</w:t>
      </w:r>
      <w:r w:rsidR="004D1AE1" w:rsidRPr="00610FF2">
        <w:rPr>
          <w:rFonts w:cstheme="minorHAnsi"/>
        </w:rPr>
        <w:t xml:space="preserve"> is very crucial for successful implementation of GSCM </w:t>
      </w:r>
      <w:r w:rsidR="00220824" w:rsidRPr="00610FF2">
        <w:rPr>
          <w:rFonts w:cstheme="minorHAnsi"/>
        </w:rPr>
        <w:t>(Li et al., 2006)</w:t>
      </w:r>
      <w:r w:rsidR="005A6D4A" w:rsidRPr="00610FF2">
        <w:rPr>
          <w:rFonts w:cstheme="minorHAnsi"/>
        </w:rPr>
        <w:t xml:space="preserve">. For GSCM </w:t>
      </w:r>
      <w:r w:rsidRPr="00610FF2">
        <w:rPr>
          <w:rFonts w:cstheme="minorHAnsi"/>
        </w:rPr>
        <w:t xml:space="preserve">to be successfully implemented </w:t>
      </w:r>
      <w:r w:rsidR="005A6D4A" w:rsidRPr="00610FF2">
        <w:rPr>
          <w:rFonts w:cstheme="minorHAnsi"/>
        </w:rPr>
        <w:t>partners in the supply chain should operate in an environment in which information relevant to effectively operating the total environmental management systems on time and in undistorted form is available (</w:t>
      </w:r>
      <w:proofErr w:type="spellStart"/>
      <w:r w:rsidR="005A6D4A" w:rsidRPr="00610FF2">
        <w:rPr>
          <w:rFonts w:cstheme="minorHAnsi"/>
        </w:rPr>
        <w:t>Towell</w:t>
      </w:r>
      <w:proofErr w:type="spellEnd"/>
      <w:r w:rsidR="005A6D4A" w:rsidRPr="00610FF2">
        <w:rPr>
          <w:rFonts w:cstheme="minorHAnsi"/>
        </w:rPr>
        <w:t xml:space="preserve">, 1997). Information within an organisation could be either strategic or tactical in nature and could include information </w:t>
      </w:r>
      <w:r w:rsidR="002C15A2" w:rsidRPr="00610FF2">
        <w:rPr>
          <w:rFonts w:cstheme="minorHAnsi"/>
        </w:rPr>
        <w:t>about logistics</w:t>
      </w:r>
      <w:r w:rsidR="005A6D4A" w:rsidRPr="00610FF2">
        <w:rPr>
          <w:rFonts w:cstheme="minorHAnsi"/>
        </w:rPr>
        <w:t xml:space="preserve"> activities to general marketing and customer information</w:t>
      </w:r>
      <w:r w:rsidR="002C15A2" w:rsidRPr="00610FF2">
        <w:rPr>
          <w:rFonts w:cstheme="minorHAnsi"/>
        </w:rPr>
        <w:t xml:space="preserve"> (</w:t>
      </w:r>
      <w:proofErr w:type="spellStart"/>
      <w:r w:rsidR="002C15A2" w:rsidRPr="00610FF2">
        <w:rPr>
          <w:rFonts w:cstheme="minorHAnsi"/>
        </w:rPr>
        <w:t>Mentzer</w:t>
      </w:r>
      <w:proofErr w:type="spellEnd"/>
      <w:r w:rsidR="002C15A2" w:rsidRPr="00610FF2">
        <w:rPr>
          <w:rFonts w:cstheme="minorHAnsi"/>
        </w:rPr>
        <w:t xml:space="preserve"> et al., 2000; Li et al., 2006). Research available supports the notion that the key to successful GSCM implementation is making available undistorted and up-to-date data</w:t>
      </w:r>
      <w:r w:rsidR="00617860" w:rsidRPr="00610FF2">
        <w:rPr>
          <w:rFonts w:cstheme="minorHAnsi"/>
        </w:rPr>
        <w:t xml:space="preserve"> to every member of the supply chain (</w:t>
      </w:r>
      <w:proofErr w:type="spellStart"/>
      <w:r w:rsidR="00617860" w:rsidRPr="00610FF2">
        <w:rPr>
          <w:rFonts w:cstheme="minorHAnsi"/>
        </w:rPr>
        <w:t>Childhouse</w:t>
      </w:r>
      <w:proofErr w:type="spellEnd"/>
      <w:r w:rsidR="00617860" w:rsidRPr="00610FF2">
        <w:rPr>
          <w:rFonts w:cstheme="minorHAnsi"/>
        </w:rPr>
        <w:t xml:space="preserve"> &amp; </w:t>
      </w:r>
      <w:proofErr w:type="spellStart"/>
      <w:r w:rsidR="00617860" w:rsidRPr="00610FF2">
        <w:rPr>
          <w:rFonts w:cstheme="minorHAnsi"/>
        </w:rPr>
        <w:t>Towill</w:t>
      </w:r>
      <w:proofErr w:type="spellEnd"/>
      <w:r w:rsidR="00617860" w:rsidRPr="00610FF2">
        <w:rPr>
          <w:rFonts w:cstheme="minorHAnsi"/>
        </w:rPr>
        <w:t xml:space="preserve">, 2003; </w:t>
      </w:r>
      <w:proofErr w:type="spellStart"/>
      <w:r w:rsidR="00617860" w:rsidRPr="00610FF2">
        <w:rPr>
          <w:rFonts w:cstheme="minorHAnsi"/>
        </w:rPr>
        <w:t>Balsmei</w:t>
      </w:r>
      <w:r w:rsidRPr="00610FF2">
        <w:rPr>
          <w:rFonts w:cstheme="minorHAnsi"/>
        </w:rPr>
        <w:t>er</w:t>
      </w:r>
      <w:proofErr w:type="spellEnd"/>
      <w:r w:rsidRPr="00610FF2">
        <w:rPr>
          <w:rFonts w:cstheme="minorHAnsi"/>
        </w:rPr>
        <w:t xml:space="preserve"> &amp; </w:t>
      </w:r>
      <w:proofErr w:type="spellStart"/>
      <w:r w:rsidRPr="00610FF2">
        <w:rPr>
          <w:rFonts w:cstheme="minorHAnsi"/>
        </w:rPr>
        <w:t>Voisin</w:t>
      </w:r>
      <w:proofErr w:type="spellEnd"/>
      <w:r w:rsidRPr="00610FF2">
        <w:rPr>
          <w:rFonts w:cstheme="minorHAnsi"/>
        </w:rPr>
        <w:t>, 1996). While</w:t>
      </w:r>
      <w:r w:rsidR="00617860" w:rsidRPr="00610FF2">
        <w:rPr>
          <w:rFonts w:cstheme="minorHAnsi"/>
        </w:rPr>
        <w:t xml:space="preserve"> inf</w:t>
      </w:r>
      <w:r w:rsidRPr="00610FF2">
        <w:rPr>
          <w:rFonts w:cstheme="minorHAnsi"/>
        </w:rPr>
        <w:t>ormation sharing is appropriate,</w:t>
      </w:r>
      <w:r w:rsidR="00617860" w:rsidRPr="00610FF2">
        <w:rPr>
          <w:rFonts w:cstheme="minorHAnsi"/>
        </w:rPr>
        <w:t xml:space="preserve"> </w:t>
      </w:r>
      <w:r w:rsidR="00A42E81" w:rsidRPr="00610FF2">
        <w:rPr>
          <w:rFonts w:cstheme="minorHAnsi"/>
        </w:rPr>
        <w:t>the extent of</w:t>
      </w:r>
      <w:r w:rsidR="00003444" w:rsidRPr="00610FF2">
        <w:rPr>
          <w:rFonts w:cstheme="minorHAnsi"/>
        </w:rPr>
        <w:t xml:space="preserve"> the impact on GSCM implementation depend</w:t>
      </w:r>
      <w:r w:rsidRPr="00610FF2">
        <w:rPr>
          <w:rFonts w:cstheme="minorHAnsi"/>
        </w:rPr>
        <w:t>s on what information is shared, when</w:t>
      </w:r>
      <w:r w:rsidR="00003444" w:rsidRPr="00610FF2">
        <w:rPr>
          <w:rFonts w:cstheme="minorHAnsi"/>
        </w:rPr>
        <w:t xml:space="preserve"> and how it is </w:t>
      </w:r>
      <w:r w:rsidR="00E7299A" w:rsidRPr="00610FF2">
        <w:rPr>
          <w:rFonts w:cstheme="minorHAnsi"/>
        </w:rPr>
        <w:t>shared</w:t>
      </w:r>
      <w:r w:rsidR="00A42E81" w:rsidRPr="00610FF2">
        <w:rPr>
          <w:rFonts w:cstheme="minorHAnsi"/>
        </w:rPr>
        <w:t>,</w:t>
      </w:r>
      <w:r w:rsidR="00E7299A" w:rsidRPr="00610FF2">
        <w:rPr>
          <w:rFonts w:cstheme="minorHAnsi"/>
        </w:rPr>
        <w:t xml:space="preserve"> and </w:t>
      </w:r>
      <w:r w:rsidR="0026771A" w:rsidRPr="00610FF2">
        <w:rPr>
          <w:rFonts w:cstheme="minorHAnsi"/>
        </w:rPr>
        <w:t>with whom (</w:t>
      </w:r>
      <w:proofErr w:type="spellStart"/>
      <w:r w:rsidR="0026771A" w:rsidRPr="00610FF2">
        <w:rPr>
          <w:rFonts w:cstheme="minorHAnsi"/>
        </w:rPr>
        <w:t>Chizzo</w:t>
      </w:r>
      <w:proofErr w:type="spellEnd"/>
      <w:r w:rsidR="0026771A" w:rsidRPr="00610FF2">
        <w:rPr>
          <w:rFonts w:cstheme="minorHAnsi"/>
        </w:rPr>
        <w:t>, 1998)</w:t>
      </w:r>
      <w:r w:rsidR="006B2335">
        <w:rPr>
          <w:rFonts w:cstheme="minorHAnsi"/>
        </w:rPr>
        <w:t>.</w:t>
      </w:r>
    </w:p>
    <w:p w:rsidR="006B2335" w:rsidRPr="006065F5" w:rsidRDefault="006B2335" w:rsidP="006B2335">
      <w:pPr>
        <w:spacing w:after="0" w:line="240" w:lineRule="auto"/>
        <w:jc w:val="both"/>
        <w:rPr>
          <w:rFonts w:cstheme="minorHAnsi"/>
          <w:sz w:val="6"/>
        </w:rPr>
      </w:pPr>
    </w:p>
    <w:p w:rsidR="00703547" w:rsidRPr="00610FF2" w:rsidRDefault="00703547" w:rsidP="006B2335">
      <w:pPr>
        <w:spacing w:after="0" w:line="240" w:lineRule="auto"/>
        <w:jc w:val="both"/>
        <w:rPr>
          <w:rFonts w:cstheme="minorHAnsi"/>
          <w:b/>
        </w:rPr>
      </w:pPr>
      <w:r w:rsidRPr="00610FF2">
        <w:rPr>
          <w:rFonts w:cstheme="minorHAnsi"/>
          <w:b/>
        </w:rPr>
        <w:t xml:space="preserve">Government Regulations </w:t>
      </w:r>
    </w:p>
    <w:p w:rsidR="003B0736" w:rsidRDefault="007D6FD9" w:rsidP="006B2335">
      <w:pPr>
        <w:spacing w:after="0" w:line="240" w:lineRule="auto"/>
        <w:jc w:val="both"/>
        <w:rPr>
          <w:rFonts w:cstheme="minorHAnsi"/>
          <w:sz w:val="10"/>
        </w:rPr>
      </w:pPr>
      <w:r w:rsidRPr="00610FF2">
        <w:rPr>
          <w:rFonts w:cstheme="minorHAnsi"/>
        </w:rPr>
        <w:t>Government Regulation   is one of the key enablers that influences successful implementation of GSCM (De Brito et al., 2008; Chan et al., 2016)</w:t>
      </w:r>
      <w:r w:rsidR="00115DB5" w:rsidRPr="00610FF2">
        <w:rPr>
          <w:rFonts w:cstheme="minorHAnsi"/>
        </w:rPr>
        <w:t>. Global environmental and social concerns have caused governments to enact laws regulating the operations of industries. Man</w:t>
      </w:r>
      <w:r w:rsidR="002112D7" w:rsidRPr="00610FF2">
        <w:rPr>
          <w:rFonts w:cstheme="minorHAnsi"/>
        </w:rPr>
        <w:t xml:space="preserve">ufacturing industries are </w:t>
      </w:r>
      <w:r w:rsidR="00115DB5" w:rsidRPr="00610FF2">
        <w:rPr>
          <w:rFonts w:cstheme="minorHAnsi"/>
        </w:rPr>
        <w:t>held accountable for their environmental liabilities such as air pollution</w:t>
      </w:r>
      <w:r w:rsidR="00920DF4" w:rsidRPr="00610FF2">
        <w:rPr>
          <w:rFonts w:cstheme="minorHAnsi"/>
        </w:rPr>
        <w:t>,</w:t>
      </w:r>
      <w:r w:rsidR="00115DB5" w:rsidRPr="00610FF2">
        <w:rPr>
          <w:rFonts w:cstheme="minorHAnsi"/>
        </w:rPr>
        <w:t xml:space="preserve"> greenhouse gas emission</w:t>
      </w:r>
      <w:r w:rsidR="00920DF4" w:rsidRPr="00610FF2">
        <w:rPr>
          <w:rFonts w:cstheme="minorHAnsi"/>
        </w:rPr>
        <w:t>,</w:t>
      </w:r>
      <w:r w:rsidR="00115DB5" w:rsidRPr="00610FF2">
        <w:rPr>
          <w:rFonts w:cstheme="minorHAnsi"/>
        </w:rPr>
        <w:t xml:space="preserve"> water pollution and toxic waste g</w:t>
      </w:r>
      <w:r w:rsidR="00920DF4" w:rsidRPr="00610FF2">
        <w:rPr>
          <w:rFonts w:cstheme="minorHAnsi"/>
        </w:rPr>
        <w:t xml:space="preserve">eneration (Lee 2010). Due to government regulations </w:t>
      </w:r>
      <w:r w:rsidR="002112D7" w:rsidRPr="00610FF2">
        <w:rPr>
          <w:rFonts w:cstheme="minorHAnsi"/>
        </w:rPr>
        <w:t>and,</w:t>
      </w:r>
      <w:r w:rsidR="00920DF4" w:rsidRPr="00610FF2">
        <w:rPr>
          <w:rFonts w:cstheme="minorHAnsi"/>
        </w:rPr>
        <w:t xml:space="preserve"> many Indians</w:t>
      </w:r>
      <w:r w:rsidR="00D7080E" w:rsidRPr="00610FF2">
        <w:rPr>
          <w:rFonts w:cstheme="minorHAnsi"/>
        </w:rPr>
        <w:t xml:space="preserve"> </w:t>
      </w:r>
      <w:r w:rsidR="002112D7" w:rsidRPr="00610FF2">
        <w:rPr>
          <w:rFonts w:cstheme="minorHAnsi"/>
        </w:rPr>
        <w:t>textile-manufacturing</w:t>
      </w:r>
      <w:r w:rsidR="00920DF4" w:rsidRPr="00610FF2">
        <w:rPr>
          <w:rFonts w:cstheme="minorHAnsi"/>
        </w:rPr>
        <w:t xml:space="preserve"> companies have started to adopt green supply</w:t>
      </w:r>
      <w:r w:rsidR="00D7080E" w:rsidRPr="00610FF2">
        <w:rPr>
          <w:rFonts w:cstheme="minorHAnsi"/>
        </w:rPr>
        <w:t xml:space="preserve"> chain management to sustain and maintain their business position in the competitive market (</w:t>
      </w:r>
      <w:proofErr w:type="spellStart"/>
      <w:r w:rsidR="00D7080E" w:rsidRPr="00610FF2">
        <w:rPr>
          <w:rFonts w:cstheme="minorHAnsi"/>
        </w:rPr>
        <w:t>Diabet</w:t>
      </w:r>
      <w:proofErr w:type="spellEnd"/>
      <w:r w:rsidR="00D7080E" w:rsidRPr="00610FF2">
        <w:rPr>
          <w:rFonts w:cstheme="minorHAnsi"/>
        </w:rPr>
        <w:t xml:space="preserve"> et al., 2014)</w:t>
      </w:r>
      <w:r w:rsidR="00E03C74" w:rsidRPr="00610FF2">
        <w:rPr>
          <w:rFonts w:cstheme="minorHAnsi"/>
        </w:rPr>
        <w:t xml:space="preserve">. </w:t>
      </w:r>
      <w:r w:rsidR="000E0C4B" w:rsidRPr="00610FF2">
        <w:rPr>
          <w:rFonts w:cstheme="minorHAnsi"/>
        </w:rPr>
        <w:t xml:space="preserve">In a national survey on environmental protection conducted in United </w:t>
      </w:r>
      <w:r w:rsidR="00C77CDE" w:rsidRPr="00610FF2">
        <w:rPr>
          <w:rFonts w:cstheme="minorHAnsi"/>
        </w:rPr>
        <w:t xml:space="preserve">State </w:t>
      </w:r>
      <w:r w:rsidR="000E0C4B" w:rsidRPr="00610FF2">
        <w:rPr>
          <w:rFonts w:cstheme="minorHAnsi"/>
        </w:rPr>
        <w:t xml:space="preserve">of </w:t>
      </w:r>
      <w:r w:rsidR="002112D7" w:rsidRPr="00610FF2">
        <w:rPr>
          <w:rFonts w:cstheme="minorHAnsi"/>
        </w:rPr>
        <w:t>America,</w:t>
      </w:r>
      <w:r w:rsidR="000E0C4B" w:rsidRPr="00610FF2">
        <w:rPr>
          <w:rFonts w:cstheme="minorHAnsi"/>
        </w:rPr>
        <w:t xml:space="preserve"> many respondents believe that without government regulations many corporations would not attend to environmental issues and possible implement environmental protection strategy (Hoffman, 2000</w:t>
      </w:r>
    </w:p>
    <w:p w:rsidR="00C11318" w:rsidRPr="006065F5" w:rsidRDefault="00C11318" w:rsidP="006B2335">
      <w:pPr>
        <w:spacing w:after="0" w:line="240" w:lineRule="auto"/>
        <w:jc w:val="both"/>
        <w:rPr>
          <w:rFonts w:cstheme="minorHAnsi"/>
          <w:sz w:val="6"/>
        </w:rPr>
      </w:pPr>
    </w:p>
    <w:p w:rsidR="009E748C" w:rsidRPr="003B0736" w:rsidRDefault="009E748C" w:rsidP="006B2335">
      <w:pPr>
        <w:spacing w:after="0" w:line="240" w:lineRule="auto"/>
        <w:jc w:val="both"/>
        <w:rPr>
          <w:rFonts w:cstheme="minorHAnsi"/>
        </w:rPr>
      </w:pPr>
      <w:r w:rsidRPr="00610FF2">
        <w:rPr>
          <w:rFonts w:cstheme="minorHAnsi"/>
          <w:b/>
        </w:rPr>
        <w:t>ISO 14001 Certification</w:t>
      </w:r>
    </w:p>
    <w:p w:rsidR="001A435C" w:rsidRPr="00610FF2" w:rsidRDefault="001A435C" w:rsidP="006B2335">
      <w:pPr>
        <w:spacing w:after="0" w:line="240" w:lineRule="auto"/>
        <w:jc w:val="both"/>
        <w:rPr>
          <w:rFonts w:cstheme="minorHAnsi"/>
        </w:rPr>
      </w:pPr>
      <w:r w:rsidRPr="00610FF2">
        <w:rPr>
          <w:rFonts w:cstheme="minorHAnsi"/>
        </w:rPr>
        <w:t>Established by International Organisation for Standardisation (ISO)</w:t>
      </w:r>
      <w:r w:rsidR="003260E7" w:rsidRPr="00610FF2">
        <w:rPr>
          <w:rFonts w:cstheme="minorHAnsi"/>
        </w:rPr>
        <w:t>, based</w:t>
      </w:r>
      <w:r w:rsidRPr="00610FF2">
        <w:rPr>
          <w:rFonts w:cstheme="minorHAnsi"/>
        </w:rPr>
        <w:t xml:space="preserve"> in Geneva Switzerland, ISO 14001 is a set of voluntary standards that integrate environmental responsibility into </w:t>
      </w:r>
      <w:r w:rsidR="003260E7" w:rsidRPr="00610FF2">
        <w:rPr>
          <w:rFonts w:cstheme="minorHAnsi"/>
        </w:rPr>
        <w:t>firm’s</w:t>
      </w:r>
      <w:r w:rsidRPr="00610FF2">
        <w:rPr>
          <w:rFonts w:cstheme="minorHAnsi"/>
        </w:rPr>
        <w:t xml:space="preserve"> management procedure (Frankel, 1998)</w:t>
      </w:r>
      <w:r w:rsidR="003260E7" w:rsidRPr="00610FF2">
        <w:rPr>
          <w:rFonts w:cstheme="minorHAnsi"/>
        </w:rPr>
        <w:t xml:space="preserve">. Achieving the balance between environment, society and economy is very crucial in order to achieve sustainability. </w:t>
      </w:r>
      <w:r w:rsidR="0057133E" w:rsidRPr="00610FF2">
        <w:rPr>
          <w:rFonts w:cstheme="minorHAnsi"/>
        </w:rPr>
        <w:t>Societal expectations from sustainable development, transparency, and accountability have evolved with introduction of strict legislations, pressure from pollution and waste, inefficient use of resources, climate change deforestation and degradation of the ecosystems (ISO, 2015). T</w:t>
      </w:r>
      <w:r w:rsidR="002112D7" w:rsidRPr="00610FF2">
        <w:rPr>
          <w:rFonts w:cstheme="minorHAnsi"/>
        </w:rPr>
        <w:t>hese difficulties have influenced organisations</w:t>
      </w:r>
      <w:r w:rsidR="0057133E" w:rsidRPr="00610FF2">
        <w:rPr>
          <w:rFonts w:cstheme="minorHAnsi"/>
        </w:rPr>
        <w:t xml:space="preserve"> to adopt a systematic approach to environmental management by implementing a set </w:t>
      </w:r>
      <w:r w:rsidR="002112D7" w:rsidRPr="00610FF2">
        <w:rPr>
          <w:rFonts w:cstheme="minorHAnsi"/>
        </w:rPr>
        <w:t>of green GSCM</w:t>
      </w:r>
      <w:r w:rsidR="0057133E" w:rsidRPr="00610FF2">
        <w:rPr>
          <w:rFonts w:cstheme="minorHAnsi"/>
        </w:rPr>
        <w:t xml:space="preserve"> practices </w:t>
      </w:r>
      <w:r w:rsidR="00344F12" w:rsidRPr="00610FF2">
        <w:rPr>
          <w:rFonts w:cstheme="minorHAnsi"/>
        </w:rPr>
        <w:t xml:space="preserve">with the aim of protecting the natural ecology (ISO, 2015).  By </w:t>
      </w:r>
      <w:r w:rsidR="00CD5F34" w:rsidRPr="00610FF2">
        <w:rPr>
          <w:rFonts w:cstheme="minorHAnsi"/>
        </w:rPr>
        <w:t>1998,</w:t>
      </w:r>
      <w:r w:rsidR="00344F12" w:rsidRPr="00610FF2">
        <w:rPr>
          <w:rFonts w:cstheme="minorHAnsi"/>
        </w:rPr>
        <w:t xml:space="preserve"> more than 5500 organisations worldwide had obtained certification (ISO</w:t>
      </w:r>
      <w:r w:rsidR="00886935" w:rsidRPr="00610FF2">
        <w:rPr>
          <w:rFonts w:cstheme="minorHAnsi"/>
        </w:rPr>
        <w:t>, 1998</w:t>
      </w:r>
      <w:r w:rsidR="00344F12" w:rsidRPr="00610FF2">
        <w:rPr>
          <w:rFonts w:cstheme="minorHAnsi"/>
        </w:rPr>
        <w:t>)</w:t>
      </w:r>
      <w:r w:rsidR="00886935" w:rsidRPr="00610FF2">
        <w:rPr>
          <w:rFonts w:cstheme="minorHAnsi"/>
        </w:rPr>
        <w:t>. Many banks and insurance companies in Europe including Deutsche Bank AG have made it a policy to give preferential treatment to organisations with ISO 14001 certification. Major focal companies such as Daimler-Chrysler are demanding all their suppli</w:t>
      </w:r>
      <w:r w:rsidR="003B0736">
        <w:rPr>
          <w:rFonts w:cstheme="minorHAnsi"/>
        </w:rPr>
        <w:t>ers be certified (Hoffman 2000).</w:t>
      </w:r>
    </w:p>
    <w:p w:rsidR="006B2335" w:rsidRPr="006065F5" w:rsidRDefault="006B2335" w:rsidP="006B2335">
      <w:pPr>
        <w:spacing w:after="0" w:line="240" w:lineRule="auto"/>
        <w:jc w:val="both"/>
        <w:rPr>
          <w:rFonts w:cstheme="minorHAnsi"/>
          <w:b/>
          <w:sz w:val="6"/>
        </w:rPr>
      </w:pPr>
    </w:p>
    <w:p w:rsidR="00E064E0" w:rsidRPr="00610FF2" w:rsidRDefault="00E064E0" w:rsidP="006B2335">
      <w:pPr>
        <w:spacing w:after="0" w:line="240" w:lineRule="auto"/>
        <w:jc w:val="both"/>
        <w:rPr>
          <w:rFonts w:cstheme="minorHAnsi"/>
          <w:b/>
        </w:rPr>
      </w:pPr>
      <w:r w:rsidRPr="00610FF2">
        <w:rPr>
          <w:rFonts w:cstheme="minorHAnsi"/>
          <w:b/>
        </w:rPr>
        <w:t>2.5 Significance of the sector considered in this study</w:t>
      </w:r>
    </w:p>
    <w:p w:rsidR="006B2335" w:rsidRDefault="00E064E0" w:rsidP="006B2335">
      <w:pPr>
        <w:spacing w:after="0" w:line="240" w:lineRule="auto"/>
        <w:jc w:val="both"/>
        <w:rPr>
          <w:rFonts w:cstheme="minorHAnsi"/>
        </w:rPr>
      </w:pPr>
      <w:r w:rsidRPr="00610FF2">
        <w:rPr>
          <w:rFonts w:cstheme="minorHAnsi"/>
        </w:rPr>
        <w:t>Manufacturing sector plays a very significant role in UK economy</w:t>
      </w:r>
      <w:r w:rsidR="00666F41" w:rsidRPr="00610FF2">
        <w:rPr>
          <w:rFonts w:cstheme="minorHAnsi"/>
        </w:rPr>
        <w:t xml:space="preserve"> and therefore the reason for it consideration in this study. Various industries make up the manufacturing sector in UK such as; food, tobacco and beverage, metal and metal product, furniture and wood related product, pharmaceutical, plastics, glasses and cement, wood and paper product, petroleum product, textile product, electrical equipment, chemical and chemical product, automobile and auto- parts</w:t>
      </w:r>
      <w:r w:rsidR="00D519B9" w:rsidRPr="00610FF2">
        <w:rPr>
          <w:rFonts w:cstheme="minorHAnsi"/>
        </w:rPr>
        <w:t xml:space="preserve">. All these sectors contribute to UK unparalleled economic growth. UK is now the </w:t>
      </w:r>
      <w:r w:rsidR="00CD5F34" w:rsidRPr="00610FF2">
        <w:rPr>
          <w:rFonts w:cstheme="minorHAnsi"/>
        </w:rPr>
        <w:t>ninth</w:t>
      </w:r>
      <w:r w:rsidR="00D519B9" w:rsidRPr="00610FF2">
        <w:rPr>
          <w:rFonts w:cstheme="minorHAnsi"/>
        </w:rPr>
        <w:t xml:space="preserve"> world leading ma</w:t>
      </w:r>
      <w:r w:rsidR="005A3475" w:rsidRPr="00610FF2">
        <w:rPr>
          <w:rFonts w:cstheme="minorHAnsi"/>
        </w:rPr>
        <w:t>nufacturing country with</w:t>
      </w:r>
      <w:r w:rsidR="00D519B9" w:rsidRPr="00610FF2">
        <w:rPr>
          <w:rFonts w:cstheme="minorHAnsi"/>
        </w:rPr>
        <w:t xml:space="preserve"> output totalling $244 billion in 2015. Manufacturing sector in UK accounted for 2% of world </w:t>
      </w:r>
      <w:r w:rsidR="0051034F" w:rsidRPr="00610FF2">
        <w:rPr>
          <w:rFonts w:cstheme="minorHAnsi"/>
        </w:rPr>
        <w:t>manufacturing output (House of Commons, 2018). The sector also account</w:t>
      </w:r>
      <w:r w:rsidR="005A3475" w:rsidRPr="00610FF2">
        <w:rPr>
          <w:rFonts w:cstheme="minorHAnsi"/>
        </w:rPr>
        <w:t xml:space="preserve">s for 1% of UK gross </w:t>
      </w:r>
      <w:r w:rsidR="005A3475" w:rsidRPr="00610FF2">
        <w:rPr>
          <w:rFonts w:cstheme="minorHAnsi"/>
        </w:rPr>
        <w:lastRenderedPageBreak/>
        <w:t xml:space="preserve">domestic product (GDP). All the various industries in the manufacturing sector have </w:t>
      </w:r>
      <w:r w:rsidR="00CD5F34" w:rsidRPr="00610FF2">
        <w:rPr>
          <w:rFonts w:cstheme="minorHAnsi"/>
        </w:rPr>
        <w:t>long-term</w:t>
      </w:r>
      <w:r w:rsidR="005A3475" w:rsidRPr="00610FF2">
        <w:rPr>
          <w:rFonts w:cstheme="minorHAnsi"/>
        </w:rPr>
        <w:t xml:space="preserve"> relationship with international business through either exporting or importing or as suppliers of parts and components. </w:t>
      </w:r>
    </w:p>
    <w:p w:rsidR="006065F5" w:rsidRPr="00C11318" w:rsidRDefault="006065F5" w:rsidP="006B2335">
      <w:pPr>
        <w:spacing w:after="0" w:line="240" w:lineRule="auto"/>
        <w:jc w:val="both"/>
        <w:rPr>
          <w:rFonts w:cstheme="minorHAnsi"/>
          <w:sz w:val="10"/>
        </w:rPr>
      </w:pPr>
    </w:p>
    <w:p w:rsidR="005A1B54" w:rsidRPr="006B2335" w:rsidRDefault="005A1B54" w:rsidP="006B2335">
      <w:pPr>
        <w:spacing w:after="0" w:line="240" w:lineRule="auto"/>
        <w:jc w:val="both"/>
        <w:rPr>
          <w:rFonts w:cstheme="minorHAnsi"/>
          <w:b/>
          <w:u w:val="single"/>
        </w:rPr>
      </w:pPr>
      <w:r w:rsidRPr="006B2335">
        <w:rPr>
          <w:rFonts w:cstheme="minorHAnsi"/>
          <w:b/>
          <w:u w:val="single"/>
        </w:rPr>
        <w:t>3. Sustainability performance</w:t>
      </w:r>
      <w:r w:rsidR="005675F8" w:rsidRPr="006B2335">
        <w:rPr>
          <w:rFonts w:cstheme="minorHAnsi"/>
          <w:b/>
          <w:u w:val="single"/>
        </w:rPr>
        <w:t xml:space="preserve"> </w:t>
      </w:r>
    </w:p>
    <w:p w:rsidR="00067444" w:rsidRDefault="007C7F17" w:rsidP="003B0736">
      <w:pPr>
        <w:spacing w:after="0" w:line="240" w:lineRule="auto"/>
        <w:jc w:val="both"/>
        <w:rPr>
          <w:rFonts w:cstheme="minorHAnsi"/>
        </w:rPr>
      </w:pPr>
      <w:r w:rsidRPr="00610FF2">
        <w:rPr>
          <w:rFonts w:cstheme="minorHAnsi"/>
        </w:rPr>
        <w:t>Extant literature has investigated the relationship between GSCM implementation and performance implications including environmental social economic and operational.</w:t>
      </w:r>
      <w:r w:rsidR="00DC711D" w:rsidRPr="00610FF2">
        <w:rPr>
          <w:rFonts w:cstheme="minorHAnsi"/>
          <w:b/>
        </w:rPr>
        <w:t xml:space="preserve"> </w:t>
      </w:r>
      <w:r w:rsidR="005A3475" w:rsidRPr="00610FF2">
        <w:rPr>
          <w:rFonts w:cstheme="minorHAnsi"/>
          <w:b/>
        </w:rPr>
        <w:t xml:space="preserve"> </w:t>
      </w:r>
      <w:r w:rsidRPr="00610FF2">
        <w:rPr>
          <w:rFonts w:cstheme="minorHAnsi"/>
        </w:rPr>
        <w:t xml:space="preserve">There is still diverse opinion as far as literature is concerned with respect to this relationship. </w:t>
      </w:r>
      <w:r w:rsidR="00CD5F34" w:rsidRPr="00610FF2">
        <w:rPr>
          <w:rFonts w:cstheme="minorHAnsi"/>
        </w:rPr>
        <w:t>However,</w:t>
      </w:r>
      <w:r w:rsidRPr="00610FF2">
        <w:rPr>
          <w:rFonts w:cstheme="minorHAnsi"/>
        </w:rPr>
        <w:t xml:space="preserve"> there is strong argument </w:t>
      </w:r>
      <w:r w:rsidR="00941914" w:rsidRPr="00610FF2">
        <w:rPr>
          <w:rFonts w:cstheme="minorHAnsi"/>
        </w:rPr>
        <w:t>within</w:t>
      </w:r>
      <w:r w:rsidRPr="00610FF2">
        <w:rPr>
          <w:rFonts w:cstheme="minorHAnsi"/>
        </w:rPr>
        <w:t xml:space="preserve"> </w:t>
      </w:r>
      <w:r w:rsidR="00941914" w:rsidRPr="00610FF2">
        <w:rPr>
          <w:rFonts w:cstheme="minorHAnsi"/>
        </w:rPr>
        <w:t>literature</w:t>
      </w:r>
      <w:r w:rsidRPr="00610FF2">
        <w:rPr>
          <w:rFonts w:cstheme="minorHAnsi"/>
        </w:rPr>
        <w:t xml:space="preserve"> supporting positive relationship between GSCM implementation and performance. For </w:t>
      </w:r>
      <w:r w:rsidR="00A42E81" w:rsidRPr="00610FF2">
        <w:rPr>
          <w:rFonts w:cstheme="minorHAnsi"/>
        </w:rPr>
        <w:t>example,</w:t>
      </w:r>
      <w:r w:rsidRPr="00610FF2">
        <w:rPr>
          <w:rFonts w:cstheme="minorHAnsi"/>
        </w:rPr>
        <w:t xml:space="preserve"> Lee et al. (2012) posit that inter-organisational linkages and collaboration could bring about enhancement in environmental performance. </w:t>
      </w:r>
      <w:proofErr w:type="spellStart"/>
      <w:r w:rsidRPr="00610FF2">
        <w:rPr>
          <w:rFonts w:cstheme="minorHAnsi"/>
        </w:rPr>
        <w:t>Chiou</w:t>
      </w:r>
      <w:proofErr w:type="spellEnd"/>
      <w:r w:rsidRPr="00610FF2">
        <w:rPr>
          <w:rFonts w:cstheme="minorHAnsi"/>
        </w:rPr>
        <w:t xml:space="preserve"> et al. (2011) argued that greening the suppliers and green innovation has a positive relationship on environmental performance and competitive advantage in Taiwan manufacturing firms. </w:t>
      </w:r>
      <w:proofErr w:type="spellStart"/>
      <w:r w:rsidR="00133D2F" w:rsidRPr="00610FF2">
        <w:rPr>
          <w:rFonts w:cstheme="minorHAnsi"/>
        </w:rPr>
        <w:t>Esfahbodi</w:t>
      </w:r>
      <w:proofErr w:type="spellEnd"/>
      <w:r w:rsidR="00133D2F" w:rsidRPr="00610FF2">
        <w:rPr>
          <w:rFonts w:cstheme="minorHAnsi"/>
        </w:rPr>
        <w:t xml:space="preserve"> et al (2016) argued that the adoption of SSCM has higher levels of environmental performance, but does not necessarily lead to improved cost performance in Chinese and Iranian manufacturing sectors. On the other </w:t>
      </w:r>
      <w:r w:rsidR="00CD5F34" w:rsidRPr="00610FF2">
        <w:rPr>
          <w:rFonts w:cstheme="minorHAnsi"/>
        </w:rPr>
        <w:t>hand,</w:t>
      </w:r>
      <w:r w:rsidR="00133D2F" w:rsidRPr="00610FF2">
        <w:rPr>
          <w:rFonts w:cstheme="minorHAnsi"/>
        </w:rPr>
        <w:t xml:space="preserve"> studies such as Bowen et al (2001) argued that SSCM practices</w:t>
      </w:r>
      <w:r w:rsidR="00C77CDE" w:rsidRPr="00610FF2">
        <w:rPr>
          <w:rFonts w:cstheme="minorHAnsi"/>
        </w:rPr>
        <w:t xml:space="preserve"> do</w:t>
      </w:r>
      <w:r w:rsidR="00133D2F" w:rsidRPr="00610FF2">
        <w:rPr>
          <w:rFonts w:cstheme="minorHAnsi"/>
        </w:rPr>
        <w:t xml:space="preserve"> not bring forth </w:t>
      </w:r>
      <w:r w:rsidR="00CD5F34" w:rsidRPr="00610FF2">
        <w:rPr>
          <w:rFonts w:cstheme="minorHAnsi"/>
        </w:rPr>
        <w:t>short-term</w:t>
      </w:r>
      <w:r w:rsidR="00133D2F" w:rsidRPr="00610FF2">
        <w:rPr>
          <w:rFonts w:cstheme="minorHAnsi"/>
        </w:rPr>
        <w:t xml:space="preserve"> profitability and economic performance.</w:t>
      </w:r>
    </w:p>
    <w:p w:rsidR="003B0736" w:rsidRPr="00C11318" w:rsidRDefault="003B0736" w:rsidP="003B0736">
      <w:pPr>
        <w:spacing w:after="0" w:line="240" w:lineRule="auto"/>
        <w:jc w:val="both"/>
        <w:rPr>
          <w:rFonts w:cstheme="minorHAnsi"/>
          <w:sz w:val="10"/>
        </w:rPr>
      </w:pPr>
    </w:p>
    <w:p w:rsidR="009660BA" w:rsidRPr="00610FF2" w:rsidRDefault="009660BA" w:rsidP="006B2335">
      <w:pPr>
        <w:spacing w:after="0" w:line="240" w:lineRule="auto"/>
        <w:jc w:val="both"/>
        <w:rPr>
          <w:rFonts w:cstheme="minorHAnsi"/>
          <w:b/>
        </w:rPr>
      </w:pPr>
      <w:r w:rsidRPr="00610FF2">
        <w:rPr>
          <w:rFonts w:cstheme="minorHAnsi"/>
          <w:b/>
        </w:rPr>
        <w:t>4.1 Research sample size and data collection</w:t>
      </w:r>
    </w:p>
    <w:p w:rsidR="00B722DC" w:rsidRDefault="009660BA" w:rsidP="006B2335">
      <w:pPr>
        <w:spacing w:after="0" w:line="240" w:lineRule="auto"/>
        <w:jc w:val="both"/>
        <w:rPr>
          <w:rFonts w:cstheme="minorHAnsi"/>
          <w:b/>
        </w:rPr>
      </w:pPr>
      <w:r w:rsidRPr="00610FF2">
        <w:rPr>
          <w:rFonts w:cstheme="minorHAnsi"/>
        </w:rPr>
        <w:t xml:space="preserve">This study aims to examine the relationship between GSCM practices and sustainability performance. Further, this study examines the critical enablers that influence implementation of GSCM by UK manufacturing industries.  </w:t>
      </w:r>
      <w:proofErr w:type="spellStart"/>
      <w:r w:rsidRPr="00610FF2">
        <w:rPr>
          <w:rFonts w:cstheme="minorHAnsi"/>
        </w:rPr>
        <w:t>Qualtrics</w:t>
      </w:r>
      <w:proofErr w:type="spellEnd"/>
      <w:r w:rsidRPr="00610FF2">
        <w:rPr>
          <w:rFonts w:cstheme="minorHAnsi"/>
        </w:rPr>
        <w:t xml:space="preserve"> dataset </w:t>
      </w:r>
      <w:r w:rsidR="00097F5C" w:rsidRPr="00610FF2">
        <w:rPr>
          <w:rFonts w:cstheme="minorHAnsi"/>
        </w:rPr>
        <w:t>was used</w:t>
      </w:r>
      <w:r w:rsidRPr="00610FF2">
        <w:rPr>
          <w:rFonts w:cstheme="minorHAnsi"/>
        </w:rPr>
        <w:t xml:space="preserve"> as a survey sources for this study. The use of </w:t>
      </w:r>
      <w:proofErr w:type="spellStart"/>
      <w:r w:rsidRPr="00610FF2">
        <w:rPr>
          <w:rFonts w:cstheme="minorHAnsi"/>
        </w:rPr>
        <w:t>qualtrics</w:t>
      </w:r>
      <w:proofErr w:type="spellEnd"/>
      <w:r w:rsidRPr="00610FF2">
        <w:rPr>
          <w:rFonts w:cstheme="minorHAnsi"/>
        </w:rPr>
        <w:t xml:space="preserve"> as an intermediary organisation was informed by previous studies that highlights </w:t>
      </w:r>
      <w:r w:rsidR="00076A60" w:rsidRPr="00610FF2">
        <w:rPr>
          <w:rFonts w:cstheme="minorHAnsi"/>
        </w:rPr>
        <w:t xml:space="preserve">the challenges </w:t>
      </w:r>
      <w:r w:rsidR="00097F5C" w:rsidRPr="00610FF2">
        <w:rPr>
          <w:rFonts w:cstheme="minorHAnsi"/>
        </w:rPr>
        <w:t xml:space="preserve">uncounted in adopting representative sampling techniques where a general mistrust of outsiders results in low response rate to mail based survey </w:t>
      </w:r>
      <w:proofErr w:type="gramStart"/>
      <w:r w:rsidR="00097F5C" w:rsidRPr="00610FF2">
        <w:rPr>
          <w:rFonts w:cstheme="minorHAnsi"/>
        </w:rPr>
        <w:t xml:space="preserve">( </w:t>
      </w:r>
      <w:proofErr w:type="spellStart"/>
      <w:r w:rsidR="00097F5C" w:rsidRPr="00610FF2">
        <w:rPr>
          <w:rFonts w:cstheme="minorHAnsi"/>
        </w:rPr>
        <w:t>Zhenge</w:t>
      </w:r>
      <w:proofErr w:type="spellEnd"/>
      <w:proofErr w:type="gramEnd"/>
      <w:r w:rsidR="00097F5C" w:rsidRPr="00610FF2">
        <w:rPr>
          <w:rFonts w:cstheme="minorHAnsi"/>
        </w:rPr>
        <w:t xml:space="preserve"> et al., 2006; </w:t>
      </w:r>
      <w:proofErr w:type="spellStart"/>
      <w:r w:rsidR="00097F5C" w:rsidRPr="00610FF2">
        <w:rPr>
          <w:rFonts w:cstheme="minorHAnsi"/>
        </w:rPr>
        <w:t>Abdulrahman</w:t>
      </w:r>
      <w:proofErr w:type="spellEnd"/>
      <w:r w:rsidR="00097F5C" w:rsidRPr="00610FF2">
        <w:rPr>
          <w:rFonts w:cstheme="minorHAnsi"/>
        </w:rPr>
        <w:t xml:space="preserve"> &amp; Subramanian 2012). The intermediaries introduced the researcher and the aim of the research to the respondents and assured them that their replies are for the purposes of academic excise and that their confidentiality would be kept. </w:t>
      </w:r>
      <w:r w:rsidRPr="00610FF2">
        <w:rPr>
          <w:rFonts w:cstheme="minorHAnsi"/>
        </w:rPr>
        <w:t xml:space="preserve"> An online questionnaire survey is the research instrument</w:t>
      </w:r>
      <w:r w:rsidR="00DD734A" w:rsidRPr="00610FF2">
        <w:rPr>
          <w:rFonts w:cstheme="minorHAnsi"/>
        </w:rPr>
        <w:t xml:space="preserve"> used in this study and was solely target at manufacturing sector in UK.</w:t>
      </w:r>
      <w:r w:rsidRPr="00610FF2">
        <w:rPr>
          <w:rFonts w:cstheme="minorHAnsi"/>
        </w:rPr>
        <w:t xml:space="preserve"> Initial invitations to participate in the survey were sent by email. The questionnaires were developed based on literature presented in the previous section (Rogers and </w:t>
      </w:r>
      <w:proofErr w:type="spellStart"/>
      <w:r w:rsidRPr="00610FF2">
        <w:rPr>
          <w:rFonts w:cstheme="minorHAnsi"/>
        </w:rPr>
        <w:t>Tibben-Lembke</w:t>
      </w:r>
      <w:proofErr w:type="spellEnd"/>
      <w:r w:rsidRPr="00610FF2">
        <w:rPr>
          <w:rFonts w:cstheme="minorHAnsi"/>
        </w:rPr>
        <w:t xml:space="preserve">, 1999; Lau and Wang, 2009; </w:t>
      </w:r>
      <w:proofErr w:type="spellStart"/>
      <w:r w:rsidRPr="00610FF2">
        <w:rPr>
          <w:rFonts w:cstheme="minorHAnsi"/>
        </w:rPr>
        <w:t>Abdulrahman</w:t>
      </w:r>
      <w:proofErr w:type="spellEnd"/>
      <w:r w:rsidRPr="00610FF2">
        <w:rPr>
          <w:rFonts w:cstheme="minorHAnsi"/>
        </w:rPr>
        <w:t xml:space="preserve"> and Subramanian, 2012). This study identified key respondents such as first level managers, assistant managers, CEO and directors who are knowledgeable about the company’s internal and external operations strategies. The survey was administered by online email sent to 250 manufacturing managers on 8th march, 2018. The initial email resulted in 93 usable responses. Follow up mails were sent five weeks after the first emails and no more completed questionnaires were returned. This brought the total usable questionnaire for this study to 93, which brought overall response rate to 37.2%. This study did not deal with non-response bias since all the usable response came at the same time without any late responses. </w:t>
      </w:r>
      <w:r w:rsidRPr="00610FF2">
        <w:rPr>
          <w:rFonts w:cstheme="minorHAnsi"/>
          <w:b/>
        </w:rPr>
        <w:t xml:space="preserve"> </w:t>
      </w:r>
    </w:p>
    <w:p w:rsidR="006B2335" w:rsidRPr="00C11318" w:rsidRDefault="006B2335" w:rsidP="006B2335">
      <w:pPr>
        <w:spacing w:after="0" w:line="240" w:lineRule="auto"/>
        <w:jc w:val="both"/>
        <w:rPr>
          <w:rFonts w:cstheme="minorHAnsi"/>
          <w:sz w:val="10"/>
        </w:rPr>
      </w:pPr>
    </w:p>
    <w:p w:rsidR="00DD734A" w:rsidRPr="00610FF2" w:rsidRDefault="00B722DC" w:rsidP="006B2335">
      <w:pPr>
        <w:spacing w:after="0" w:line="240" w:lineRule="auto"/>
        <w:jc w:val="both"/>
        <w:rPr>
          <w:rFonts w:cstheme="minorHAnsi"/>
          <w:b/>
        </w:rPr>
      </w:pPr>
      <w:r w:rsidRPr="00610FF2">
        <w:rPr>
          <w:rFonts w:cstheme="minorHAnsi"/>
          <w:b/>
        </w:rPr>
        <w:t>4.2</w:t>
      </w:r>
      <w:r w:rsidR="00DD734A" w:rsidRPr="00610FF2">
        <w:rPr>
          <w:rFonts w:cstheme="minorHAnsi"/>
          <w:b/>
        </w:rPr>
        <w:t xml:space="preserve"> Sample Characteristics</w:t>
      </w:r>
    </w:p>
    <w:p w:rsidR="00DD734A" w:rsidRDefault="00DD734A" w:rsidP="006B2335">
      <w:pPr>
        <w:spacing w:after="0" w:line="240" w:lineRule="auto"/>
        <w:jc w:val="both"/>
        <w:rPr>
          <w:rFonts w:cstheme="minorHAnsi"/>
        </w:rPr>
      </w:pPr>
      <w:r w:rsidRPr="00610FF2">
        <w:rPr>
          <w:rFonts w:cstheme="minorHAnsi"/>
        </w:rPr>
        <w:t>This section provides an overview of the characteristics of the respondents and their organisations</w:t>
      </w:r>
      <w:r w:rsidR="0016216F" w:rsidRPr="00610FF2">
        <w:rPr>
          <w:rFonts w:cstheme="minorHAnsi"/>
        </w:rPr>
        <w:t xml:space="preserve">. This section is important because as the study’s outcomes will be drawn based on these information. Industry type, size of the firm and the type of the respondents generally present the main </w:t>
      </w:r>
      <w:proofErr w:type="spellStart"/>
      <w:r w:rsidR="0016216F" w:rsidRPr="00610FF2">
        <w:rPr>
          <w:rFonts w:cstheme="minorHAnsi"/>
        </w:rPr>
        <w:t>charateristics</w:t>
      </w:r>
      <w:proofErr w:type="spellEnd"/>
      <w:r w:rsidR="0016216F" w:rsidRPr="00610FF2">
        <w:rPr>
          <w:rFonts w:cstheme="minorHAnsi"/>
        </w:rPr>
        <w:t xml:space="preserve"> of the sample in operations </w:t>
      </w:r>
      <w:r w:rsidR="0048185F" w:rsidRPr="00610FF2">
        <w:rPr>
          <w:rFonts w:cstheme="minorHAnsi"/>
        </w:rPr>
        <w:t>and</w:t>
      </w:r>
      <w:r w:rsidR="0016216F" w:rsidRPr="00610FF2">
        <w:rPr>
          <w:rFonts w:cstheme="minorHAnsi"/>
        </w:rPr>
        <w:t xml:space="preserve"> supply chain management research (Forza, 2002; </w:t>
      </w:r>
      <w:proofErr w:type="spellStart"/>
      <w:r w:rsidR="0016216F" w:rsidRPr="00610FF2">
        <w:rPr>
          <w:rFonts w:cstheme="minorHAnsi"/>
        </w:rPr>
        <w:t>Esfahbodi</w:t>
      </w:r>
      <w:proofErr w:type="spellEnd"/>
      <w:r w:rsidR="0016216F" w:rsidRPr="00610FF2">
        <w:rPr>
          <w:rFonts w:cstheme="minorHAnsi"/>
        </w:rPr>
        <w:t>, 2016).</w:t>
      </w:r>
    </w:p>
    <w:p w:rsidR="006B2335" w:rsidRPr="00C11318" w:rsidRDefault="006B2335" w:rsidP="006B2335">
      <w:pPr>
        <w:spacing w:after="0" w:line="240" w:lineRule="auto"/>
        <w:jc w:val="both"/>
        <w:rPr>
          <w:rFonts w:cstheme="minorHAnsi"/>
          <w:sz w:val="8"/>
        </w:rPr>
      </w:pPr>
    </w:p>
    <w:p w:rsidR="001E4B04" w:rsidRDefault="00C77CDE" w:rsidP="001E4B04">
      <w:pPr>
        <w:spacing w:after="0" w:line="240" w:lineRule="auto"/>
        <w:jc w:val="both"/>
        <w:rPr>
          <w:rFonts w:cstheme="minorHAnsi"/>
        </w:rPr>
      </w:pPr>
      <w:r w:rsidRPr="00610FF2">
        <w:rPr>
          <w:rFonts w:cstheme="minorHAnsi"/>
        </w:rPr>
        <w:t xml:space="preserve">Among the respondents, 14.4 % represented </w:t>
      </w:r>
      <w:r w:rsidR="000E5708" w:rsidRPr="00610FF2">
        <w:rPr>
          <w:rFonts w:cstheme="minorHAnsi"/>
        </w:rPr>
        <w:t>food and beverage industry, 14.4 % from</w:t>
      </w:r>
      <w:r w:rsidR="00442D1C" w:rsidRPr="00610FF2">
        <w:rPr>
          <w:rFonts w:cstheme="minorHAnsi"/>
        </w:rPr>
        <w:t xml:space="preserve"> metal, 13.4% from ele</w:t>
      </w:r>
      <w:r w:rsidRPr="00610FF2">
        <w:rPr>
          <w:rFonts w:cstheme="minorHAnsi"/>
        </w:rPr>
        <w:t xml:space="preserve">ctrical and computer industries. </w:t>
      </w:r>
      <w:r w:rsidR="00442D1C" w:rsidRPr="00610FF2">
        <w:rPr>
          <w:rFonts w:cstheme="minorHAnsi"/>
        </w:rPr>
        <w:t xml:space="preserve"> 5.2</w:t>
      </w:r>
      <w:r w:rsidRPr="00610FF2">
        <w:rPr>
          <w:rFonts w:cstheme="minorHAnsi"/>
        </w:rPr>
        <w:t>% from</w:t>
      </w:r>
      <w:r w:rsidR="00442D1C" w:rsidRPr="00610FF2">
        <w:rPr>
          <w:rFonts w:cstheme="minorHAnsi"/>
        </w:rPr>
        <w:t xml:space="preserve"> motor vehicle and auto parts, 6.2% from clothing and t</w:t>
      </w:r>
      <w:r w:rsidRPr="00610FF2">
        <w:rPr>
          <w:rFonts w:cstheme="minorHAnsi"/>
        </w:rPr>
        <w:t>extile, 6.2% from wood industry.</w:t>
      </w:r>
      <w:r w:rsidR="00442D1C" w:rsidRPr="00610FF2">
        <w:rPr>
          <w:rFonts w:cstheme="minorHAnsi"/>
        </w:rPr>
        <w:t xml:space="preserve"> 6.2% from chemical industries, 5.2% from paper making industries, 6.2 from</w:t>
      </w:r>
      <w:r w:rsidRPr="00610FF2">
        <w:rPr>
          <w:rFonts w:cstheme="minorHAnsi"/>
        </w:rPr>
        <w:t xml:space="preserve"> rubber and plastics industries.</w:t>
      </w:r>
      <w:r w:rsidR="00442D1C" w:rsidRPr="00610FF2">
        <w:rPr>
          <w:rFonts w:cstheme="minorHAnsi"/>
        </w:rPr>
        <w:t xml:space="preserve"> 2.1 % from pharmaceutical industries, 3.1 from minerals and metallic industries, </w:t>
      </w:r>
      <w:r w:rsidR="003B484D" w:rsidRPr="00610FF2">
        <w:rPr>
          <w:rFonts w:cstheme="minorHAnsi"/>
        </w:rPr>
        <w:t>9.3% from other related manufacturing industries. With respect to firm size characteristics, this study measured the firm si</w:t>
      </w:r>
      <w:r w:rsidR="00895556" w:rsidRPr="00610FF2">
        <w:rPr>
          <w:rFonts w:cstheme="minorHAnsi"/>
        </w:rPr>
        <w:t>ze using the annual turnover</w:t>
      </w:r>
      <w:r w:rsidR="003B484D" w:rsidRPr="00610FF2">
        <w:rPr>
          <w:rFonts w:cstheme="minorHAnsi"/>
        </w:rPr>
        <w:t xml:space="preserve"> obtained from the demographic questions. The study also relied on the EU criterial for measuring </w:t>
      </w:r>
      <w:r w:rsidRPr="00610FF2">
        <w:rPr>
          <w:rFonts w:cstheme="minorHAnsi"/>
        </w:rPr>
        <w:t>firm’s</w:t>
      </w:r>
      <w:r w:rsidR="003B484D" w:rsidRPr="00610FF2">
        <w:rPr>
          <w:rFonts w:cstheme="minorHAnsi"/>
        </w:rPr>
        <w:t xml:space="preserve"> size</w:t>
      </w:r>
      <w:r w:rsidRPr="00610FF2">
        <w:rPr>
          <w:rFonts w:cstheme="minorHAnsi"/>
        </w:rPr>
        <w:t xml:space="preserve">. This measurement </w:t>
      </w:r>
      <w:r w:rsidR="003B484D" w:rsidRPr="00610FF2">
        <w:rPr>
          <w:rFonts w:cstheme="minorHAnsi"/>
        </w:rPr>
        <w:t xml:space="preserve">classifies firms as large if the </w:t>
      </w:r>
      <w:r w:rsidR="00895556" w:rsidRPr="00610FF2">
        <w:rPr>
          <w:rFonts w:cstheme="minorHAnsi"/>
        </w:rPr>
        <w:t xml:space="preserve">number of turnover </w:t>
      </w:r>
      <w:r w:rsidR="003B484D" w:rsidRPr="00610FF2">
        <w:rPr>
          <w:rFonts w:cstheme="minorHAnsi"/>
        </w:rPr>
        <w:t xml:space="preserve"> is </w:t>
      </w:r>
      <w:r w:rsidR="00895556" w:rsidRPr="00610FF2">
        <w:rPr>
          <w:rFonts w:cstheme="minorHAnsi"/>
        </w:rPr>
        <w:t xml:space="preserve">greater than 500 million pounds or </w:t>
      </w:r>
      <w:r w:rsidR="00895556" w:rsidRPr="00610FF2">
        <w:rPr>
          <w:rFonts w:cstheme="minorHAnsi"/>
        </w:rPr>
        <w:lastRenderedPageBreak/>
        <w:t>more</w:t>
      </w:r>
      <w:r w:rsidRPr="00610FF2">
        <w:rPr>
          <w:rFonts w:cstheme="minorHAnsi"/>
        </w:rPr>
        <w:t>,</w:t>
      </w:r>
      <w:r w:rsidR="00895556" w:rsidRPr="00610FF2">
        <w:rPr>
          <w:rFonts w:cstheme="minorHAnsi"/>
        </w:rPr>
        <w:t xml:space="preserve"> and small  if the annual turnover is  </w:t>
      </w:r>
      <w:r w:rsidRPr="00610FF2">
        <w:rPr>
          <w:rFonts w:cstheme="minorHAnsi"/>
        </w:rPr>
        <w:t>less than 100 million, medium if</w:t>
      </w:r>
      <w:r w:rsidR="00895556" w:rsidRPr="00610FF2">
        <w:rPr>
          <w:rFonts w:cstheme="minorHAnsi"/>
        </w:rPr>
        <w:t xml:space="preserve"> the annual turnover is more than 100 million </w:t>
      </w:r>
      <w:r w:rsidR="00FB078E" w:rsidRPr="00610FF2">
        <w:rPr>
          <w:rFonts w:cstheme="minorHAnsi"/>
        </w:rPr>
        <w:t>but less than 500 million</w:t>
      </w:r>
      <w:r w:rsidR="00895556" w:rsidRPr="00610FF2">
        <w:rPr>
          <w:rFonts w:cstheme="minorHAnsi"/>
        </w:rPr>
        <w:t xml:space="preserve"> (</w:t>
      </w:r>
      <w:proofErr w:type="spellStart"/>
      <w:r w:rsidR="00895556" w:rsidRPr="00610FF2">
        <w:rPr>
          <w:rFonts w:cstheme="minorHAnsi"/>
        </w:rPr>
        <w:t>Gimenez</w:t>
      </w:r>
      <w:proofErr w:type="spellEnd"/>
      <w:r w:rsidR="00895556" w:rsidRPr="00610FF2">
        <w:rPr>
          <w:rFonts w:cstheme="minorHAnsi"/>
        </w:rPr>
        <w:t xml:space="preserve"> et al 2012; </w:t>
      </w:r>
      <w:proofErr w:type="spellStart"/>
      <w:r w:rsidR="00895556" w:rsidRPr="00610FF2">
        <w:rPr>
          <w:rFonts w:cstheme="minorHAnsi"/>
        </w:rPr>
        <w:t>Esfahodi</w:t>
      </w:r>
      <w:proofErr w:type="spellEnd"/>
      <w:r w:rsidR="00895556" w:rsidRPr="00610FF2">
        <w:rPr>
          <w:rFonts w:cstheme="minorHAnsi"/>
        </w:rPr>
        <w:t xml:space="preserve"> 2016). With this in mind and based on table </w:t>
      </w:r>
      <w:r w:rsidR="001E4B04">
        <w:rPr>
          <w:rFonts w:cstheme="minorHAnsi"/>
        </w:rPr>
        <w:t>4</w:t>
      </w:r>
      <w:r w:rsidR="00895556" w:rsidRPr="00610FF2">
        <w:rPr>
          <w:rFonts w:cstheme="minorHAnsi"/>
        </w:rPr>
        <w:t xml:space="preserve"> below </w:t>
      </w:r>
      <w:r w:rsidR="00FB078E" w:rsidRPr="00610FF2">
        <w:rPr>
          <w:rFonts w:cstheme="minorHAnsi"/>
        </w:rPr>
        <w:t xml:space="preserve">47.8% were classified as </w:t>
      </w:r>
      <w:r w:rsidR="00B65025" w:rsidRPr="00610FF2">
        <w:rPr>
          <w:rFonts w:cstheme="minorHAnsi"/>
        </w:rPr>
        <w:t>small (43) 23.3% were</w:t>
      </w:r>
      <w:r w:rsidR="00FB078E" w:rsidRPr="00610FF2">
        <w:rPr>
          <w:rFonts w:cstheme="minorHAnsi"/>
        </w:rPr>
        <w:t xml:space="preserve"> classified as medium (21) and 28.9</w:t>
      </w:r>
      <w:r w:rsidR="00B65025" w:rsidRPr="00610FF2">
        <w:rPr>
          <w:rFonts w:cstheme="minorHAnsi"/>
        </w:rPr>
        <w:t>% classified</w:t>
      </w:r>
      <w:r w:rsidR="00FB078E" w:rsidRPr="00610FF2">
        <w:rPr>
          <w:rFonts w:cstheme="minorHAnsi"/>
        </w:rPr>
        <w:t xml:space="preserve"> as large (26)</w:t>
      </w:r>
      <w:r w:rsidR="001E4B04">
        <w:rPr>
          <w:rFonts w:cstheme="minorHAnsi"/>
        </w:rPr>
        <w:t>. Drawing on table 2</w:t>
      </w:r>
      <w:r w:rsidR="00114326" w:rsidRPr="00610FF2">
        <w:rPr>
          <w:rFonts w:cstheme="minorHAnsi"/>
        </w:rPr>
        <w:t xml:space="preserve">, </w:t>
      </w:r>
      <w:r w:rsidRPr="00610FF2">
        <w:rPr>
          <w:rFonts w:cstheme="minorHAnsi"/>
        </w:rPr>
        <w:t xml:space="preserve">the </w:t>
      </w:r>
      <w:r w:rsidR="00114326" w:rsidRPr="00610FF2">
        <w:rPr>
          <w:rFonts w:cstheme="minorHAnsi"/>
        </w:rPr>
        <w:t>q</w:t>
      </w:r>
      <w:r w:rsidR="00B65025" w:rsidRPr="00610FF2">
        <w:rPr>
          <w:rFonts w:cstheme="minorHAnsi"/>
        </w:rPr>
        <w:t>uestio</w:t>
      </w:r>
      <w:r w:rsidRPr="00610FF2">
        <w:rPr>
          <w:rFonts w:cstheme="minorHAnsi"/>
        </w:rPr>
        <w:t>nnaires were</w:t>
      </w:r>
      <w:r w:rsidR="00306AC9" w:rsidRPr="00610FF2">
        <w:rPr>
          <w:rFonts w:cstheme="minorHAnsi"/>
        </w:rPr>
        <w:t xml:space="preserve"> mainly </w:t>
      </w:r>
      <w:r w:rsidR="00CD65C5" w:rsidRPr="00610FF2">
        <w:rPr>
          <w:rFonts w:cstheme="minorHAnsi"/>
        </w:rPr>
        <w:t>answered by</w:t>
      </w:r>
      <w:r w:rsidR="00114326" w:rsidRPr="00610FF2">
        <w:rPr>
          <w:rFonts w:cstheme="minorHAnsi"/>
        </w:rPr>
        <w:t xml:space="preserve"> senior managers</w:t>
      </w:r>
      <w:r w:rsidRPr="00610FF2">
        <w:rPr>
          <w:rFonts w:cstheme="minorHAnsi"/>
        </w:rPr>
        <w:t xml:space="preserve"> who represented</w:t>
      </w:r>
      <w:r w:rsidR="00CD65C5" w:rsidRPr="00610FF2">
        <w:rPr>
          <w:rFonts w:cstheme="minorHAnsi"/>
        </w:rPr>
        <w:t xml:space="preserve"> 64.5% (60)</w:t>
      </w:r>
      <w:r w:rsidRPr="00610FF2">
        <w:rPr>
          <w:rFonts w:cstheme="minorHAnsi"/>
        </w:rPr>
        <w:t>.</w:t>
      </w:r>
      <w:r w:rsidR="00CD65C5" w:rsidRPr="00610FF2">
        <w:rPr>
          <w:rFonts w:cstheme="minorHAnsi"/>
        </w:rPr>
        <w:t xml:space="preserve"> 33.3% represented first level managers (31) and 2.2% represent those who are neither managers nor supervisors</w:t>
      </w:r>
      <w:r w:rsidR="00114326" w:rsidRPr="00610FF2">
        <w:rPr>
          <w:rFonts w:cstheme="minorHAnsi"/>
        </w:rPr>
        <w:t xml:space="preserve"> (2) based on the information captured in </w:t>
      </w:r>
      <w:r w:rsidR="001E4B04">
        <w:rPr>
          <w:rFonts w:cstheme="minorHAnsi"/>
        </w:rPr>
        <w:t>table 2.</w:t>
      </w:r>
    </w:p>
    <w:p w:rsidR="003B0736" w:rsidRPr="00C11318" w:rsidRDefault="003B0736" w:rsidP="001E4B04">
      <w:pPr>
        <w:spacing w:after="0" w:line="240" w:lineRule="auto"/>
        <w:jc w:val="both"/>
        <w:rPr>
          <w:rFonts w:cstheme="minorHAnsi"/>
          <w:b/>
          <w:sz w:val="14"/>
        </w:rPr>
      </w:pPr>
    </w:p>
    <w:p w:rsidR="00140D56" w:rsidRDefault="001E4B04" w:rsidP="001E4B04">
      <w:pPr>
        <w:spacing w:after="0" w:line="240" w:lineRule="auto"/>
        <w:jc w:val="both"/>
        <w:rPr>
          <w:rFonts w:cstheme="minorHAnsi"/>
          <w:b/>
        </w:rPr>
      </w:pPr>
      <w:r>
        <w:rPr>
          <w:rFonts w:cstheme="minorHAnsi"/>
          <w:b/>
        </w:rPr>
        <w:t xml:space="preserve">4.3 </w:t>
      </w:r>
      <w:r w:rsidRPr="00610FF2">
        <w:rPr>
          <w:rFonts w:cstheme="minorHAnsi"/>
          <w:b/>
        </w:rPr>
        <w:t>Respondent Profile</w:t>
      </w:r>
    </w:p>
    <w:tbl>
      <w:tblPr>
        <w:tblW w:w="8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24725C" w:rsidRPr="00610FF2" w:rsidTr="00825B57">
        <w:trPr>
          <w:cantSplit/>
          <w:jc w:val="center"/>
        </w:trPr>
        <w:tc>
          <w:tcPr>
            <w:tcW w:w="3414" w:type="dxa"/>
            <w:gridSpan w:val="2"/>
            <w:tcBorders>
              <w:top w:val="nil"/>
              <w:left w:val="nil"/>
              <w:bottom w:val="single" w:sz="8" w:space="0" w:color="152935"/>
              <w:right w:val="nil"/>
            </w:tcBorders>
            <w:shd w:val="clear" w:color="auto" w:fill="FFFFFF"/>
            <w:vAlign w:val="bottom"/>
          </w:tcPr>
          <w:p w:rsidR="0024725C" w:rsidRPr="00610FF2" w:rsidRDefault="0024725C" w:rsidP="00610FF2">
            <w:pPr>
              <w:autoSpaceDE w:val="0"/>
              <w:autoSpaceDN w:val="0"/>
              <w:adjustRightInd w:val="0"/>
              <w:spacing w:after="0" w:line="240" w:lineRule="auto"/>
              <w:rPr>
                <w:rFonts w:cstheme="minorHAnsi"/>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Cumulative Percent</w:t>
            </w:r>
          </w:p>
        </w:tc>
      </w:tr>
      <w:tr w:rsidR="0024725C" w:rsidRPr="00610FF2" w:rsidTr="00825B57">
        <w:trPr>
          <w:cantSplit/>
          <w:jc w:val="center"/>
        </w:trPr>
        <w:tc>
          <w:tcPr>
            <w:tcW w:w="954" w:type="dxa"/>
            <w:vMerge w:val="restart"/>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Valid</w:t>
            </w:r>
          </w:p>
        </w:tc>
        <w:tc>
          <w:tcPr>
            <w:tcW w:w="2460" w:type="dxa"/>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First level manager/supervisor</w:t>
            </w:r>
          </w:p>
        </w:tc>
        <w:tc>
          <w:tcPr>
            <w:tcW w:w="1168" w:type="dxa"/>
            <w:tcBorders>
              <w:top w:val="single" w:sz="8" w:space="0" w:color="152935"/>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32.0</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33.3</w:t>
            </w:r>
          </w:p>
        </w:tc>
        <w:tc>
          <w:tcPr>
            <w:tcW w:w="1476" w:type="dxa"/>
            <w:tcBorders>
              <w:top w:val="single" w:sz="8" w:space="0" w:color="152935"/>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33.3</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B37A45"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Manager/Supervisor higher than first level (Senior lead</w:t>
            </w:r>
          </w:p>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proofErr w:type="spellStart"/>
            <w:r w:rsidRPr="00610FF2">
              <w:rPr>
                <w:rFonts w:cstheme="minorHAnsi"/>
                <w:color w:val="264A60"/>
                <w:sz w:val="18"/>
                <w:szCs w:val="18"/>
              </w:rPr>
              <w:t>ership</w:t>
            </w:r>
            <w:proofErr w:type="spellEnd"/>
            <w:r w:rsidRPr="00610FF2">
              <w:rPr>
                <w:rFonts w:cstheme="minorHAnsi"/>
                <w:color w:val="264A60"/>
                <w:sz w:val="18"/>
                <w:szCs w:val="18"/>
              </w:rPr>
              <w:t xml:space="preserve"> included)</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61.9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64.5</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97.8</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Not a manager or supervisor</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2.2</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95.9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r w:rsidR="0024725C" w:rsidRPr="00610FF2" w:rsidTr="00825B57">
        <w:trPr>
          <w:cantSplit/>
          <w:jc w:val="center"/>
        </w:trPr>
        <w:tc>
          <w:tcPr>
            <w:tcW w:w="954"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Missing</w:t>
            </w: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r w:rsidR="0024725C" w:rsidRPr="00610FF2" w:rsidTr="00825B57">
        <w:trPr>
          <w:cantSplit/>
          <w:jc w:val="center"/>
        </w:trPr>
        <w:tc>
          <w:tcPr>
            <w:tcW w:w="3414" w:type="dxa"/>
            <w:gridSpan w:val="2"/>
            <w:tcBorders>
              <w:top w:val="single" w:sz="8" w:space="0" w:color="AEAEAE"/>
              <w:left w:val="nil"/>
              <w:bottom w:val="single" w:sz="8" w:space="0" w:color="152935"/>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bl>
    <w:p w:rsidR="001E4B04" w:rsidRPr="00C11318" w:rsidRDefault="001E4B04" w:rsidP="001E4B04">
      <w:pPr>
        <w:autoSpaceDE w:val="0"/>
        <w:autoSpaceDN w:val="0"/>
        <w:adjustRightInd w:val="0"/>
        <w:spacing w:after="0" w:line="240" w:lineRule="auto"/>
        <w:jc w:val="center"/>
        <w:rPr>
          <w:rFonts w:cstheme="minorHAnsi"/>
          <w:bCs/>
          <w:color w:val="010205"/>
          <w:sz w:val="6"/>
        </w:rPr>
      </w:pPr>
    </w:p>
    <w:p w:rsidR="0024725C" w:rsidRDefault="001E4B04" w:rsidP="001E4B04">
      <w:pPr>
        <w:autoSpaceDE w:val="0"/>
        <w:autoSpaceDN w:val="0"/>
        <w:adjustRightInd w:val="0"/>
        <w:spacing w:after="0" w:line="240" w:lineRule="auto"/>
        <w:jc w:val="center"/>
        <w:rPr>
          <w:rFonts w:cstheme="minorHAnsi"/>
          <w:bCs/>
          <w:color w:val="010205"/>
        </w:rPr>
      </w:pPr>
      <w:r w:rsidRPr="001E4B04">
        <w:rPr>
          <w:rFonts w:cstheme="minorHAnsi"/>
          <w:bCs/>
          <w:color w:val="010205"/>
        </w:rPr>
        <w:t xml:space="preserve">Table </w:t>
      </w:r>
      <w:r>
        <w:rPr>
          <w:rFonts w:cstheme="minorHAnsi"/>
          <w:bCs/>
          <w:color w:val="010205"/>
        </w:rPr>
        <w:t>2</w:t>
      </w:r>
      <w:r w:rsidRPr="001E4B04">
        <w:rPr>
          <w:rFonts w:cstheme="minorHAnsi"/>
          <w:bCs/>
          <w:color w:val="010205"/>
        </w:rPr>
        <w:t>: The role of respondents</w:t>
      </w:r>
    </w:p>
    <w:p w:rsidR="001E4B04" w:rsidRPr="003B0736" w:rsidRDefault="001E4B04" w:rsidP="001E4B04">
      <w:pPr>
        <w:autoSpaceDE w:val="0"/>
        <w:autoSpaceDN w:val="0"/>
        <w:adjustRightInd w:val="0"/>
        <w:spacing w:after="0" w:line="240" w:lineRule="auto"/>
        <w:jc w:val="center"/>
        <w:rPr>
          <w:rFonts w:cstheme="minorHAnsi"/>
          <w:bCs/>
          <w:color w:val="010205"/>
          <w:sz w:val="10"/>
        </w:rPr>
      </w:pPr>
    </w:p>
    <w:tbl>
      <w:tblPr>
        <w:tblW w:w="8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24725C" w:rsidRPr="00610FF2" w:rsidTr="00825B57">
        <w:trPr>
          <w:cantSplit/>
          <w:jc w:val="center"/>
        </w:trPr>
        <w:tc>
          <w:tcPr>
            <w:tcW w:w="3414" w:type="dxa"/>
            <w:gridSpan w:val="2"/>
            <w:tcBorders>
              <w:top w:val="nil"/>
              <w:left w:val="nil"/>
              <w:bottom w:val="single" w:sz="8" w:space="0" w:color="152935"/>
              <w:right w:val="nil"/>
            </w:tcBorders>
            <w:shd w:val="clear" w:color="auto" w:fill="FFFFFF"/>
            <w:vAlign w:val="bottom"/>
          </w:tcPr>
          <w:p w:rsidR="0024725C" w:rsidRPr="00610FF2" w:rsidRDefault="0024725C" w:rsidP="001E4B04">
            <w:pPr>
              <w:spacing w:after="160" w:line="259" w:lineRule="auto"/>
              <w:rPr>
                <w:rFonts w:cstheme="minorHAnsi"/>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24725C" w:rsidRPr="00610FF2" w:rsidRDefault="0024725C"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Cumulative Percent</w:t>
            </w:r>
          </w:p>
        </w:tc>
      </w:tr>
      <w:tr w:rsidR="0024725C" w:rsidRPr="00610FF2" w:rsidTr="00825B57">
        <w:trPr>
          <w:cantSplit/>
          <w:jc w:val="center"/>
        </w:trPr>
        <w:tc>
          <w:tcPr>
            <w:tcW w:w="954" w:type="dxa"/>
            <w:vMerge w:val="restart"/>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Valid</w:t>
            </w:r>
          </w:p>
        </w:tc>
        <w:tc>
          <w:tcPr>
            <w:tcW w:w="2460" w:type="dxa"/>
            <w:tcBorders>
              <w:top w:val="single" w:sz="8" w:space="0" w:color="152935"/>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F</w:t>
            </w:r>
            <w:r w:rsidR="0024725C" w:rsidRPr="00610FF2">
              <w:rPr>
                <w:rFonts w:cstheme="minorHAnsi"/>
                <w:color w:val="264A60"/>
                <w:sz w:val="18"/>
                <w:szCs w:val="18"/>
              </w:rPr>
              <w:t>ood and Beverage</w:t>
            </w:r>
          </w:p>
        </w:tc>
        <w:tc>
          <w:tcPr>
            <w:tcW w:w="1168" w:type="dxa"/>
            <w:tcBorders>
              <w:top w:val="single" w:sz="8" w:space="0" w:color="152935"/>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14.4</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15.6</w:t>
            </w:r>
          </w:p>
        </w:tc>
        <w:tc>
          <w:tcPr>
            <w:tcW w:w="1476" w:type="dxa"/>
            <w:tcBorders>
              <w:top w:val="single" w:sz="8" w:space="0" w:color="152935"/>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15.6</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C</w:t>
            </w:r>
            <w:r w:rsidR="0024725C" w:rsidRPr="00610FF2">
              <w:rPr>
                <w:rFonts w:cstheme="minorHAnsi"/>
                <w:color w:val="264A60"/>
                <w:sz w:val="18"/>
                <w:szCs w:val="18"/>
              </w:rPr>
              <w:t>lothing and Textile</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6.7</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22.2</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right="60"/>
              <w:rPr>
                <w:rFonts w:cstheme="minorHAnsi"/>
                <w:color w:val="264A60"/>
                <w:sz w:val="18"/>
                <w:szCs w:val="18"/>
              </w:rPr>
            </w:pPr>
            <w:r w:rsidRPr="00610FF2">
              <w:rPr>
                <w:rFonts w:cstheme="minorHAnsi"/>
                <w:color w:val="264A60"/>
                <w:sz w:val="18"/>
                <w:szCs w:val="18"/>
              </w:rPr>
              <w:t xml:space="preserve"> W</w:t>
            </w:r>
            <w:r w:rsidR="0024725C" w:rsidRPr="00610FF2">
              <w:rPr>
                <w:rFonts w:cstheme="minorHAnsi"/>
                <w:color w:val="264A60"/>
                <w:sz w:val="18"/>
                <w:szCs w:val="18"/>
              </w:rPr>
              <w:t>ood and related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6.7</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28.9</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P</w:t>
            </w:r>
            <w:r w:rsidR="0024725C" w:rsidRPr="00610FF2">
              <w:rPr>
                <w:rFonts w:cstheme="minorHAnsi"/>
                <w:color w:val="264A60"/>
                <w:sz w:val="18"/>
                <w:szCs w:val="18"/>
              </w:rPr>
              <w:t>aper and paper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5.6</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34.4</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P</w:t>
            </w:r>
            <w:r w:rsidR="0024725C" w:rsidRPr="00610FF2">
              <w:rPr>
                <w:rFonts w:cstheme="minorHAnsi"/>
                <w:color w:val="264A60"/>
                <w:sz w:val="18"/>
                <w:szCs w:val="18"/>
              </w:rPr>
              <w:t>etroleum and Gas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1.1</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35.6</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C</w:t>
            </w:r>
            <w:r w:rsidR="0024725C" w:rsidRPr="00610FF2">
              <w:rPr>
                <w:rFonts w:cstheme="minorHAnsi"/>
                <w:color w:val="264A60"/>
                <w:sz w:val="18"/>
                <w:szCs w:val="18"/>
              </w:rPr>
              <w:t>hemicals and chemical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6.7</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42.2</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pharmaceutical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2.2</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44.4</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Rubber and plastic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6.7</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51.1</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Mineral and non-metallic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3.3</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54.4</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M</w:t>
            </w:r>
            <w:r w:rsidR="0024725C" w:rsidRPr="00610FF2">
              <w:rPr>
                <w:rFonts w:cstheme="minorHAnsi"/>
                <w:color w:val="264A60"/>
                <w:sz w:val="18"/>
                <w:szCs w:val="18"/>
              </w:rPr>
              <w:t>etal</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14.4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15.6</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70.0</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Electrical and computer product</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13.4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14.4</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84.4</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 xml:space="preserve"> Motors vehicle and auto parts</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5.6</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90.0</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Others, Please specify</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w:t>
            </w:r>
          </w:p>
        </w:tc>
        <w:tc>
          <w:tcPr>
            <w:tcW w:w="1476" w:type="dxa"/>
            <w:tcBorders>
              <w:top w:val="single" w:sz="8" w:space="0" w:color="AEAEAE"/>
              <w:left w:val="single" w:sz="8" w:space="0" w:color="E0E0E0"/>
              <w:bottom w:val="single" w:sz="8" w:space="0" w:color="AEAEAE"/>
              <w:right w:val="nil"/>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r>
      <w:tr w:rsidR="0024725C"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rPr>
                <w:rFonts w:cstheme="minorHAnsi"/>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92.8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r w:rsidR="0024725C" w:rsidRPr="00610FF2" w:rsidTr="00825B57">
        <w:trPr>
          <w:cantSplit/>
          <w:jc w:val="center"/>
        </w:trPr>
        <w:tc>
          <w:tcPr>
            <w:tcW w:w="954"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Missing</w:t>
            </w:r>
          </w:p>
        </w:tc>
        <w:tc>
          <w:tcPr>
            <w:tcW w:w="2460" w:type="dxa"/>
            <w:tcBorders>
              <w:top w:val="single" w:sz="8" w:space="0" w:color="AEAEAE"/>
              <w:left w:val="nil"/>
              <w:bottom w:val="single" w:sz="8" w:space="0" w:color="AEAEAE"/>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r w:rsidR="0024725C" w:rsidRPr="00610FF2" w:rsidTr="00825B57">
        <w:trPr>
          <w:cantSplit/>
          <w:jc w:val="center"/>
        </w:trPr>
        <w:tc>
          <w:tcPr>
            <w:tcW w:w="3414" w:type="dxa"/>
            <w:gridSpan w:val="2"/>
            <w:tcBorders>
              <w:top w:val="single" w:sz="8" w:space="0" w:color="AEAEAE"/>
              <w:left w:val="nil"/>
              <w:bottom w:val="single" w:sz="8" w:space="0" w:color="152935"/>
              <w:right w:val="nil"/>
            </w:tcBorders>
            <w:shd w:val="clear" w:color="auto" w:fill="E0E0E0"/>
          </w:tcPr>
          <w:p w:rsidR="0024725C" w:rsidRPr="00610FF2" w:rsidRDefault="0024725C"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24725C" w:rsidRPr="00610FF2" w:rsidRDefault="0024725C"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24725C" w:rsidRPr="00610FF2" w:rsidRDefault="0024725C" w:rsidP="00610FF2">
            <w:pPr>
              <w:autoSpaceDE w:val="0"/>
              <w:autoSpaceDN w:val="0"/>
              <w:adjustRightInd w:val="0"/>
              <w:spacing w:after="0" w:line="240" w:lineRule="auto"/>
              <w:rPr>
                <w:rFonts w:cstheme="minorHAnsi"/>
                <w:sz w:val="24"/>
                <w:szCs w:val="24"/>
              </w:rPr>
            </w:pPr>
          </w:p>
        </w:tc>
      </w:tr>
    </w:tbl>
    <w:p w:rsidR="0024725C" w:rsidRPr="00C11318" w:rsidRDefault="0024725C" w:rsidP="00610FF2">
      <w:pPr>
        <w:autoSpaceDE w:val="0"/>
        <w:autoSpaceDN w:val="0"/>
        <w:adjustRightInd w:val="0"/>
        <w:spacing w:after="0" w:line="240" w:lineRule="auto"/>
        <w:rPr>
          <w:rFonts w:cstheme="minorHAnsi"/>
          <w:sz w:val="6"/>
          <w:szCs w:val="24"/>
        </w:rPr>
      </w:pPr>
    </w:p>
    <w:p w:rsidR="00477EB6" w:rsidRDefault="001E4B04" w:rsidP="001E4B04">
      <w:pPr>
        <w:autoSpaceDE w:val="0"/>
        <w:autoSpaceDN w:val="0"/>
        <w:adjustRightInd w:val="0"/>
        <w:spacing w:after="0" w:line="240" w:lineRule="auto"/>
        <w:jc w:val="center"/>
        <w:rPr>
          <w:rFonts w:cstheme="minorHAnsi"/>
          <w:bCs/>
          <w:color w:val="010205"/>
        </w:rPr>
      </w:pPr>
      <w:r w:rsidRPr="001E4B04">
        <w:rPr>
          <w:rFonts w:cstheme="minorHAnsi"/>
          <w:bCs/>
          <w:color w:val="010205"/>
        </w:rPr>
        <w:t xml:space="preserve">Table </w:t>
      </w:r>
      <w:r>
        <w:rPr>
          <w:rFonts w:cstheme="minorHAnsi"/>
          <w:bCs/>
          <w:color w:val="010205"/>
        </w:rPr>
        <w:t>3</w:t>
      </w:r>
      <w:r w:rsidRPr="001E4B04">
        <w:rPr>
          <w:rFonts w:cstheme="minorHAnsi"/>
          <w:bCs/>
          <w:color w:val="010205"/>
        </w:rPr>
        <w:t xml:space="preserve">: Activities of </w:t>
      </w:r>
      <w:r w:rsidR="00E943A6" w:rsidRPr="001E4B04">
        <w:rPr>
          <w:rFonts w:cstheme="minorHAnsi"/>
          <w:bCs/>
          <w:color w:val="010205"/>
        </w:rPr>
        <w:t>Respondents Company</w:t>
      </w:r>
    </w:p>
    <w:p w:rsidR="001E4B04" w:rsidRPr="003B0736" w:rsidRDefault="001E4B04" w:rsidP="001E4B04">
      <w:pPr>
        <w:autoSpaceDE w:val="0"/>
        <w:autoSpaceDN w:val="0"/>
        <w:adjustRightInd w:val="0"/>
        <w:spacing w:after="0" w:line="240" w:lineRule="auto"/>
        <w:jc w:val="center"/>
        <w:rPr>
          <w:rFonts w:cstheme="minorHAnsi"/>
          <w:bCs/>
          <w:color w:val="010205"/>
          <w:sz w:val="10"/>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45"/>
        <w:gridCol w:w="1168"/>
        <w:gridCol w:w="1029"/>
        <w:gridCol w:w="1398"/>
        <w:gridCol w:w="1476"/>
      </w:tblGrid>
      <w:tr w:rsidR="00477EB6" w:rsidRPr="00610FF2" w:rsidTr="00825B57">
        <w:trPr>
          <w:cantSplit/>
          <w:jc w:val="center"/>
        </w:trPr>
        <w:tc>
          <w:tcPr>
            <w:tcW w:w="3399" w:type="dxa"/>
            <w:gridSpan w:val="2"/>
            <w:tcBorders>
              <w:top w:val="nil"/>
              <w:left w:val="nil"/>
              <w:bottom w:val="single" w:sz="8" w:space="0" w:color="152935"/>
              <w:right w:val="nil"/>
            </w:tcBorders>
            <w:shd w:val="clear" w:color="auto" w:fill="FFFFFF"/>
            <w:vAlign w:val="bottom"/>
          </w:tcPr>
          <w:p w:rsidR="00477EB6" w:rsidRPr="00610FF2" w:rsidRDefault="00477EB6" w:rsidP="001E4B04">
            <w:pPr>
              <w:spacing w:after="160" w:line="259" w:lineRule="auto"/>
              <w:rPr>
                <w:rFonts w:cstheme="minorHAnsi"/>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477EB6" w:rsidRPr="00610FF2" w:rsidRDefault="00477EB6"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77EB6" w:rsidRPr="00610FF2" w:rsidRDefault="00477EB6"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477EB6" w:rsidRPr="00610FF2" w:rsidRDefault="00477EB6"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77EB6" w:rsidRPr="00610FF2" w:rsidRDefault="00477EB6"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Cumulative Percent</w:t>
            </w:r>
          </w:p>
        </w:tc>
      </w:tr>
      <w:tr w:rsidR="00477EB6" w:rsidRPr="00610FF2" w:rsidTr="00825B57">
        <w:trPr>
          <w:cantSplit/>
          <w:jc w:val="center"/>
        </w:trPr>
        <w:tc>
          <w:tcPr>
            <w:tcW w:w="954" w:type="dxa"/>
            <w:vMerge w:val="restart"/>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Valid</w:t>
            </w:r>
          </w:p>
        </w:tc>
        <w:tc>
          <w:tcPr>
            <w:tcW w:w="2445" w:type="dxa"/>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Less than or equal to 100</w:t>
            </w:r>
          </w:p>
        </w:tc>
        <w:tc>
          <w:tcPr>
            <w:tcW w:w="1168" w:type="dxa"/>
            <w:tcBorders>
              <w:top w:val="single" w:sz="8" w:space="0" w:color="152935"/>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44.3</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47.8</w:t>
            </w:r>
          </w:p>
        </w:tc>
        <w:tc>
          <w:tcPr>
            <w:tcW w:w="1476" w:type="dxa"/>
            <w:tcBorders>
              <w:top w:val="single" w:sz="8" w:space="0" w:color="152935"/>
              <w:left w:val="single" w:sz="8" w:space="0" w:color="E0E0E0"/>
              <w:bottom w:val="single" w:sz="8" w:space="0" w:color="AEAEAE"/>
              <w:right w:val="nil"/>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47.8</w:t>
            </w:r>
          </w:p>
        </w:tc>
      </w:tr>
      <w:tr w:rsidR="00477EB6"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rPr>
                <w:rFonts w:cstheme="minorHAnsi"/>
                <w:color w:val="010205"/>
                <w:sz w:val="18"/>
                <w:szCs w:val="18"/>
              </w:rPr>
            </w:pP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101-500</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21.6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23.3</w:t>
            </w:r>
          </w:p>
        </w:tc>
        <w:tc>
          <w:tcPr>
            <w:tcW w:w="1476" w:type="dxa"/>
            <w:tcBorders>
              <w:top w:val="single" w:sz="8" w:space="0" w:color="AEAEAE"/>
              <w:left w:val="single" w:sz="8" w:space="0" w:color="E0E0E0"/>
              <w:bottom w:val="single" w:sz="8" w:space="0" w:color="AEAEAE"/>
              <w:right w:val="nil"/>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71.1</w:t>
            </w:r>
          </w:p>
        </w:tc>
      </w:tr>
      <w:tr w:rsidR="00477EB6"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rPr>
                <w:rFonts w:cstheme="minorHAnsi"/>
                <w:color w:val="010205"/>
                <w:sz w:val="18"/>
                <w:szCs w:val="18"/>
              </w:rPr>
            </w:pP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501-1000</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w:t>
            </w:r>
          </w:p>
        </w:tc>
        <w:tc>
          <w:tcPr>
            <w:tcW w:w="1476" w:type="dxa"/>
            <w:tcBorders>
              <w:top w:val="single" w:sz="8" w:space="0" w:color="AEAEAE"/>
              <w:left w:val="single" w:sz="8" w:space="0" w:color="E0E0E0"/>
              <w:bottom w:val="single" w:sz="8" w:space="0" w:color="AEAEAE"/>
              <w:right w:val="nil"/>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81.1</w:t>
            </w:r>
          </w:p>
        </w:tc>
      </w:tr>
      <w:tr w:rsidR="00477EB6"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rPr>
                <w:rFonts w:cstheme="minorHAnsi"/>
                <w:color w:val="010205"/>
                <w:sz w:val="18"/>
                <w:szCs w:val="18"/>
              </w:rPr>
            </w:pP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1001-5000</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6.7</w:t>
            </w:r>
          </w:p>
        </w:tc>
        <w:tc>
          <w:tcPr>
            <w:tcW w:w="1476" w:type="dxa"/>
            <w:tcBorders>
              <w:top w:val="single" w:sz="8" w:space="0" w:color="AEAEAE"/>
              <w:left w:val="single" w:sz="8" w:space="0" w:color="E0E0E0"/>
              <w:bottom w:val="single" w:sz="8" w:space="0" w:color="AEAEAE"/>
              <w:right w:val="nil"/>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87.8</w:t>
            </w:r>
          </w:p>
        </w:tc>
      </w:tr>
      <w:tr w:rsidR="00477EB6"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rPr>
                <w:rFonts w:cstheme="minorHAnsi"/>
                <w:color w:val="010205"/>
                <w:sz w:val="18"/>
                <w:szCs w:val="18"/>
              </w:rPr>
            </w:pP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Above 5001</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11.3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12.2</w:t>
            </w:r>
          </w:p>
        </w:tc>
        <w:tc>
          <w:tcPr>
            <w:tcW w:w="1476" w:type="dxa"/>
            <w:tcBorders>
              <w:top w:val="single" w:sz="8" w:space="0" w:color="AEAEAE"/>
              <w:left w:val="single" w:sz="8" w:space="0" w:color="E0E0E0"/>
              <w:bottom w:val="single" w:sz="8" w:space="0" w:color="AEAEAE"/>
              <w:right w:val="nil"/>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r>
      <w:tr w:rsidR="00477EB6" w:rsidRPr="00610FF2" w:rsidTr="00825B57">
        <w:trPr>
          <w:cantSplit/>
          <w:jc w:val="center"/>
        </w:trPr>
        <w:tc>
          <w:tcPr>
            <w:tcW w:w="954" w:type="dxa"/>
            <w:vMerge/>
            <w:tcBorders>
              <w:top w:val="single" w:sz="8" w:space="0" w:color="152935"/>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rPr>
                <w:rFonts w:cstheme="minorHAnsi"/>
                <w:color w:val="010205"/>
                <w:sz w:val="18"/>
                <w:szCs w:val="18"/>
              </w:rPr>
            </w:pP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92.8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477EB6" w:rsidRPr="00610FF2" w:rsidRDefault="00477EB6" w:rsidP="00610FF2">
            <w:pPr>
              <w:autoSpaceDE w:val="0"/>
              <w:autoSpaceDN w:val="0"/>
              <w:adjustRightInd w:val="0"/>
              <w:spacing w:after="0" w:line="240" w:lineRule="auto"/>
              <w:rPr>
                <w:rFonts w:cstheme="minorHAnsi"/>
                <w:sz w:val="24"/>
                <w:szCs w:val="24"/>
              </w:rPr>
            </w:pPr>
          </w:p>
        </w:tc>
      </w:tr>
      <w:tr w:rsidR="00477EB6" w:rsidRPr="00610FF2" w:rsidTr="00825B57">
        <w:trPr>
          <w:cantSplit/>
          <w:jc w:val="center"/>
        </w:trPr>
        <w:tc>
          <w:tcPr>
            <w:tcW w:w="954"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Missing</w:t>
            </w:r>
          </w:p>
        </w:tc>
        <w:tc>
          <w:tcPr>
            <w:tcW w:w="2445" w:type="dxa"/>
            <w:tcBorders>
              <w:top w:val="single" w:sz="8" w:space="0" w:color="AEAEAE"/>
              <w:left w:val="nil"/>
              <w:bottom w:val="single" w:sz="8" w:space="0" w:color="AEAEAE"/>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7.2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77EB6" w:rsidRPr="00610FF2" w:rsidRDefault="00477EB6"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477EB6" w:rsidRPr="00610FF2" w:rsidRDefault="00477EB6" w:rsidP="00610FF2">
            <w:pPr>
              <w:autoSpaceDE w:val="0"/>
              <w:autoSpaceDN w:val="0"/>
              <w:adjustRightInd w:val="0"/>
              <w:spacing w:after="0" w:line="240" w:lineRule="auto"/>
              <w:rPr>
                <w:rFonts w:cstheme="minorHAnsi"/>
                <w:sz w:val="24"/>
                <w:szCs w:val="24"/>
              </w:rPr>
            </w:pPr>
          </w:p>
        </w:tc>
      </w:tr>
      <w:tr w:rsidR="00477EB6" w:rsidRPr="00610FF2" w:rsidTr="00825B57">
        <w:trPr>
          <w:cantSplit/>
          <w:jc w:val="center"/>
        </w:trPr>
        <w:tc>
          <w:tcPr>
            <w:tcW w:w="3399" w:type="dxa"/>
            <w:gridSpan w:val="2"/>
            <w:tcBorders>
              <w:top w:val="single" w:sz="8" w:space="0" w:color="AEAEAE"/>
              <w:left w:val="nil"/>
              <w:bottom w:val="single" w:sz="8" w:space="0" w:color="152935"/>
              <w:right w:val="nil"/>
            </w:tcBorders>
            <w:shd w:val="clear" w:color="auto" w:fill="E0E0E0"/>
          </w:tcPr>
          <w:p w:rsidR="00477EB6" w:rsidRPr="00610FF2" w:rsidRDefault="00477EB6"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97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77EB6" w:rsidRPr="00610FF2" w:rsidRDefault="00477EB6"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77EB6" w:rsidRPr="00610FF2" w:rsidRDefault="00477EB6" w:rsidP="00610FF2">
            <w:pPr>
              <w:autoSpaceDE w:val="0"/>
              <w:autoSpaceDN w:val="0"/>
              <w:adjustRightInd w:val="0"/>
              <w:spacing w:after="0" w:line="240" w:lineRule="auto"/>
              <w:rPr>
                <w:rFonts w:cstheme="minorHAnsi"/>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77EB6" w:rsidRPr="00610FF2" w:rsidRDefault="00477EB6" w:rsidP="00610FF2">
            <w:pPr>
              <w:autoSpaceDE w:val="0"/>
              <w:autoSpaceDN w:val="0"/>
              <w:adjustRightInd w:val="0"/>
              <w:spacing w:after="0" w:line="240" w:lineRule="auto"/>
              <w:rPr>
                <w:rFonts w:cstheme="minorHAnsi"/>
                <w:sz w:val="24"/>
                <w:szCs w:val="24"/>
              </w:rPr>
            </w:pPr>
          </w:p>
        </w:tc>
      </w:tr>
    </w:tbl>
    <w:p w:rsidR="002070B6" w:rsidRPr="00C11318" w:rsidRDefault="002070B6" w:rsidP="00610FF2">
      <w:pPr>
        <w:autoSpaceDE w:val="0"/>
        <w:autoSpaceDN w:val="0"/>
        <w:adjustRightInd w:val="0"/>
        <w:spacing w:after="0" w:line="240" w:lineRule="auto"/>
        <w:rPr>
          <w:rFonts w:cstheme="minorHAnsi"/>
          <w:sz w:val="6"/>
          <w:szCs w:val="24"/>
        </w:rPr>
      </w:pPr>
    </w:p>
    <w:p w:rsidR="002070B6" w:rsidRPr="001E4B04" w:rsidRDefault="001E4B04" w:rsidP="00610FF2">
      <w:pPr>
        <w:autoSpaceDE w:val="0"/>
        <w:autoSpaceDN w:val="0"/>
        <w:adjustRightInd w:val="0"/>
        <w:spacing w:after="0" w:line="240" w:lineRule="auto"/>
        <w:jc w:val="center"/>
        <w:rPr>
          <w:rFonts w:cstheme="minorHAnsi"/>
          <w:sz w:val="24"/>
          <w:szCs w:val="24"/>
        </w:rPr>
      </w:pPr>
      <w:r w:rsidRPr="001E4B04">
        <w:rPr>
          <w:rFonts w:cstheme="minorHAnsi"/>
          <w:bCs/>
          <w:color w:val="010205"/>
        </w:rPr>
        <w:t>Table</w:t>
      </w:r>
      <w:r>
        <w:rPr>
          <w:rFonts w:cstheme="minorHAnsi"/>
          <w:bCs/>
          <w:color w:val="010205"/>
        </w:rPr>
        <w:t xml:space="preserve"> 4</w:t>
      </w:r>
      <w:r w:rsidRPr="001E4B04">
        <w:rPr>
          <w:rFonts w:cstheme="minorHAnsi"/>
          <w:bCs/>
          <w:color w:val="010205"/>
        </w:rPr>
        <w:t>: Annual turnover of respondents firms (millions in pounds)</w:t>
      </w:r>
    </w:p>
    <w:p w:rsidR="002070B6" w:rsidRPr="001E4B04" w:rsidRDefault="00114326" w:rsidP="00610FF2">
      <w:pPr>
        <w:autoSpaceDE w:val="0"/>
        <w:autoSpaceDN w:val="0"/>
        <w:adjustRightInd w:val="0"/>
        <w:spacing w:after="0" w:line="240" w:lineRule="auto"/>
        <w:rPr>
          <w:rFonts w:cstheme="minorHAnsi"/>
          <w:b/>
          <w:u w:val="single"/>
        </w:rPr>
      </w:pPr>
      <w:r w:rsidRPr="001E4B04">
        <w:rPr>
          <w:rFonts w:cstheme="minorHAnsi"/>
          <w:b/>
          <w:u w:val="single"/>
        </w:rPr>
        <w:lastRenderedPageBreak/>
        <w:t xml:space="preserve">5. </w:t>
      </w:r>
      <w:r w:rsidR="002070B6" w:rsidRPr="001E4B04">
        <w:rPr>
          <w:rFonts w:cstheme="minorHAnsi"/>
          <w:b/>
          <w:u w:val="single"/>
        </w:rPr>
        <w:t>Date analysis and result</w:t>
      </w:r>
    </w:p>
    <w:p w:rsidR="002070B6" w:rsidRDefault="00067444" w:rsidP="001E4B04">
      <w:pPr>
        <w:spacing w:after="0" w:line="240" w:lineRule="auto"/>
        <w:jc w:val="both"/>
        <w:rPr>
          <w:rFonts w:cstheme="minorHAnsi"/>
        </w:rPr>
      </w:pPr>
      <w:r w:rsidRPr="00610FF2">
        <w:rPr>
          <w:rFonts w:cstheme="minorHAnsi"/>
        </w:rPr>
        <w:t xml:space="preserve">In order to test the appropriateness of the data collected </w:t>
      </w:r>
      <w:r w:rsidR="00463CE2" w:rsidRPr="00610FF2">
        <w:rPr>
          <w:rFonts w:cstheme="minorHAnsi"/>
        </w:rPr>
        <w:t xml:space="preserve">to check whether the data is normally distributed, the following steps were followed. </w:t>
      </w:r>
      <w:r w:rsidR="009B064A" w:rsidRPr="00610FF2">
        <w:rPr>
          <w:rFonts w:cstheme="minorHAnsi"/>
        </w:rPr>
        <w:t>First</w:t>
      </w:r>
      <w:r w:rsidR="00463CE2" w:rsidRPr="00610FF2">
        <w:rPr>
          <w:rFonts w:cstheme="minorHAnsi"/>
        </w:rPr>
        <w:t xml:space="preserve">, the 90 collected data set powered by </w:t>
      </w:r>
      <w:proofErr w:type="spellStart"/>
      <w:r w:rsidR="00463CE2" w:rsidRPr="00610FF2">
        <w:rPr>
          <w:rFonts w:cstheme="minorHAnsi"/>
        </w:rPr>
        <w:t>qualtrics</w:t>
      </w:r>
      <w:proofErr w:type="spellEnd"/>
      <w:r w:rsidR="00463CE2" w:rsidRPr="00610FF2">
        <w:rPr>
          <w:rFonts w:cstheme="minorHAnsi"/>
        </w:rPr>
        <w:t xml:space="preserve"> software was transferred into </w:t>
      </w:r>
      <w:r w:rsidR="009B064A" w:rsidRPr="00610FF2">
        <w:rPr>
          <w:rFonts w:cstheme="minorHAnsi"/>
        </w:rPr>
        <w:t>an IBM</w:t>
      </w:r>
      <w:r w:rsidR="00463CE2" w:rsidRPr="00610FF2">
        <w:rPr>
          <w:rFonts w:cstheme="minorHAnsi"/>
        </w:rPr>
        <w:t xml:space="preserve"> statistical package called </w:t>
      </w:r>
      <w:r w:rsidR="009B064A" w:rsidRPr="00610FF2">
        <w:rPr>
          <w:rFonts w:cstheme="minorHAnsi"/>
        </w:rPr>
        <w:t>SPSS package</w:t>
      </w:r>
      <w:r w:rsidR="00463CE2" w:rsidRPr="00610FF2">
        <w:rPr>
          <w:rFonts w:cstheme="minorHAnsi"/>
        </w:rPr>
        <w:t xml:space="preserve"> version 23.0. </w:t>
      </w:r>
      <w:r w:rsidR="009B064A" w:rsidRPr="00610FF2">
        <w:rPr>
          <w:rFonts w:cstheme="minorHAnsi"/>
        </w:rPr>
        <w:t>The values</w:t>
      </w:r>
      <w:r w:rsidR="00463CE2" w:rsidRPr="00610FF2">
        <w:rPr>
          <w:rFonts w:cstheme="minorHAnsi"/>
        </w:rPr>
        <w:t xml:space="preserve"> of the research construct were then </w:t>
      </w:r>
      <w:r w:rsidR="009B064A" w:rsidRPr="00610FF2">
        <w:rPr>
          <w:rFonts w:cstheme="minorHAnsi"/>
        </w:rPr>
        <w:t>computed using</w:t>
      </w:r>
      <w:r w:rsidR="00463CE2" w:rsidRPr="00610FF2">
        <w:rPr>
          <w:rFonts w:cstheme="minorHAnsi"/>
        </w:rPr>
        <w:t xml:space="preserve"> their measurement items</w:t>
      </w:r>
      <w:r w:rsidR="009B064A" w:rsidRPr="00610FF2">
        <w:rPr>
          <w:rFonts w:cstheme="minorHAnsi"/>
        </w:rPr>
        <w:t xml:space="preserve">. These values were picked for descriptive statistics to demonstrate the characteristics of the data set. Further, in order to test the appropriateness and the normality of the data distribution, skewness and kurtosis test were undertaken (Field, 2009; </w:t>
      </w:r>
      <w:proofErr w:type="spellStart"/>
      <w:r w:rsidR="009B064A" w:rsidRPr="00610FF2">
        <w:rPr>
          <w:rFonts w:cstheme="minorHAnsi"/>
        </w:rPr>
        <w:t>Esfahbodi</w:t>
      </w:r>
      <w:proofErr w:type="spellEnd"/>
      <w:r w:rsidR="009B064A" w:rsidRPr="00610FF2">
        <w:rPr>
          <w:rFonts w:cstheme="minorHAnsi"/>
        </w:rPr>
        <w:t xml:space="preserve"> 2016)</w:t>
      </w:r>
      <w:r w:rsidR="00C11318">
        <w:rPr>
          <w:rFonts w:cstheme="minorHAnsi"/>
        </w:rPr>
        <w:t xml:space="preserve">. </w:t>
      </w:r>
      <w:r w:rsidR="002070B6" w:rsidRPr="00610FF2">
        <w:rPr>
          <w:rFonts w:cstheme="minorHAnsi"/>
        </w:rPr>
        <w:t>Two analyses were carried out to examine the impact of GSCM on sustainable performance and the role of critical enablers</w:t>
      </w:r>
      <w:r w:rsidR="00114326" w:rsidRPr="00610FF2">
        <w:rPr>
          <w:rFonts w:cstheme="minorHAnsi"/>
        </w:rPr>
        <w:t xml:space="preserve"> in GSCM implementation</w:t>
      </w:r>
      <w:r w:rsidR="002070B6" w:rsidRPr="00610FF2">
        <w:rPr>
          <w:rFonts w:cstheme="minorHAnsi"/>
        </w:rPr>
        <w:t xml:space="preserve">. Descriptive statistics, alpha coefficients were used to analyse the survey data and its consistency. The skewness and the kurtosis coefficients were used </w:t>
      </w:r>
      <w:r w:rsidR="009B064A" w:rsidRPr="00610FF2">
        <w:rPr>
          <w:rFonts w:cstheme="minorHAnsi"/>
        </w:rPr>
        <w:t xml:space="preserve">to determine the data normality. </w:t>
      </w:r>
    </w:p>
    <w:p w:rsidR="00C11318" w:rsidRPr="00C11318" w:rsidRDefault="00C11318" w:rsidP="001E4B04">
      <w:pPr>
        <w:spacing w:after="0" w:line="240" w:lineRule="auto"/>
        <w:jc w:val="both"/>
        <w:rPr>
          <w:rFonts w:cstheme="minorHAnsi"/>
          <w:sz w:val="10"/>
        </w:rPr>
      </w:pPr>
    </w:p>
    <w:p w:rsidR="00C11318" w:rsidRDefault="00C11318" w:rsidP="00C11318">
      <w:pPr>
        <w:spacing w:after="0" w:line="240" w:lineRule="auto"/>
        <w:jc w:val="both"/>
        <w:rPr>
          <w:rFonts w:cstheme="minorHAnsi"/>
        </w:rPr>
      </w:pPr>
      <w:r w:rsidRPr="00610FF2">
        <w:rPr>
          <w:rFonts w:cstheme="minorHAnsi"/>
        </w:rPr>
        <w:t xml:space="preserve">Field (2009) posits that, for a data set to be classified as appropriate and achieve normality, the recommended coefficient should be within the range of -2.00 to two. Table </w:t>
      </w:r>
      <w:r>
        <w:rPr>
          <w:rFonts w:cstheme="minorHAnsi"/>
        </w:rPr>
        <w:t>5</w:t>
      </w:r>
      <w:r w:rsidRPr="00610FF2">
        <w:rPr>
          <w:rFonts w:cstheme="minorHAnsi"/>
        </w:rPr>
        <w:t xml:space="preserve"> shows that the collected data for all the variables is normally distributed with the skewness and kurtosis coefficient falling within the recommended range. This goes to show that the data dist</w:t>
      </w:r>
      <w:r>
        <w:rPr>
          <w:rFonts w:cstheme="minorHAnsi"/>
        </w:rPr>
        <w:t>ribution. Drawing on the table 5</w:t>
      </w:r>
      <w:r w:rsidRPr="00610FF2">
        <w:rPr>
          <w:rFonts w:cstheme="minorHAnsi"/>
        </w:rPr>
        <w:t xml:space="preserve"> above it is very clear that the entire construct have high reliability value ranging from 0.860 to 0.962, well above the recommended level by (Churchill, 1997; </w:t>
      </w:r>
      <w:proofErr w:type="spellStart"/>
      <w:r w:rsidRPr="00610FF2">
        <w:rPr>
          <w:rFonts w:cstheme="minorHAnsi"/>
        </w:rPr>
        <w:t>Nunnally</w:t>
      </w:r>
      <w:proofErr w:type="spellEnd"/>
      <w:r w:rsidRPr="00610FF2">
        <w:rPr>
          <w:rFonts w:cstheme="minorHAnsi"/>
        </w:rPr>
        <w:t xml:space="preserve"> and Bernstein, 1994). The reliability value (Cronbach’s Alpha values) of the entire construct exceeded the recommended value of 0.70 indicating high reliability (Hair et al 2011). The Cronbach’s Alpha is the measure of internal consistency (how closely related the items are as a group). If the questions related to the same issue, participants will be expected to get similar scores on each question (Hair et al 2011). The overall reliability of the study was considered satisfactory. This further explains that internal consistency exists among the variables thereby supporting that the measurement items used in the study actually represented their correspondent variables (</w:t>
      </w:r>
      <w:proofErr w:type="spellStart"/>
      <w:r w:rsidRPr="00610FF2">
        <w:rPr>
          <w:rFonts w:cstheme="minorHAnsi"/>
        </w:rPr>
        <w:t>Hiar</w:t>
      </w:r>
      <w:proofErr w:type="spellEnd"/>
      <w:r w:rsidRPr="00610FF2">
        <w:rPr>
          <w:rFonts w:cstheme="minorHAnsi"/>
        </w:rPr>
        <w:t xml:space="preserve"> et al 2010).  </w:t>
      </w:r>
    </w:p>
    <w:p w:rsidR="006065F5" w:rsidRDefault="006065F5" w:rsidP="00C11318">
      <w:pPr>
        <w:spacing w:after="0" w:line="240" w:lineRule="auto"/>
        <w:jc w:val="both"/>
        <w:rPr>
          <w:rFonts w:cstheme="minorHAnsi"/>
          <w:sz w:val="20"/>
        </w:rPr>
      </w:pPr>
    </w:p>
    <w:tbl>
      <w:tblPr>
        <w:tblStyle w:val="TableGrid"/>
        <w:tblW w:w="0" w:type="auto"/>
        <w:jc w:val="center"/>
        <w:tblLook w:val="04A0" w:firstRow="1" w:lastRow="0" w:firstColumn="1" w:lastColumn="0" w:noHBand="0" w:noVBand="1"/>
      </w:tblPr>
      <w:tblGrid>
        <w:gridCol w:w="1980"/>
        <w:gridCol w:w="709"/>
        <w:gridCol w:w="850"/>
        <w:gridCol w:w="1370"/>
        <w:gridCol w:w="1417"/>
        <w:gridCol w:w="1190"/>
        <w:gridCol w:w="1276"/>
      </w:tblGrid>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 xml:space="preserve">Variables </w:t>
            </w:r>
          </w:p>
        </w:tc>
        <w:tc>
          <w:tcPr>
            <w:tcW w:w="709"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N</w:t>
            </w:r>
          </w:p>
        </w:tc>
        <w:tc>
          <w:tcPr>
            <w:tcW w:w="850"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Mean</w:t>
            </w:r>
          </w:p>
        </w:tc>
        <w:tc>
          <w:tcPr>
            <w:tcW w:w="1370"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Std. Deviation</w:t>
            </w:r>
          </w:p>
        </w:tc>
        <w:tc>
          <w:tcPr>
            <w:tcW w:w="1417"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Cronbach’s</w:t>
            </w:r>
          </w:p>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Alpha</w:t>
            </w:r>
          </w:p>
        </w:tc>
        <w:tc>
          <w:tcPr>
            <w:tcW w:w="1190"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Skewness</w:t>
            </w:r>
          </w:p>
        </w:tc>
        <w:tc>
          <w:tcPr>
            <w:tcW w:w="1276"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Kurtosis</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E</w:t>
            </w:r>
            <w:r w:rsidR="00323D42" w:rsidRPr="00610FF2">
              <w:rPr>
                <w:rFonts w:cstheme="minorHAnsi"/>
              </w:rPr>
              <w:t xml:space="preserve">co </w:t>
            </w:r>
            <w:r w:rsidRPr="00610FF2">
              <w:rPr>
                <w:rFonts w:cstheme="minorHAnsi"/>
              </w:rPr>
              <w:t>D</w:t>
            </w:r>
            <w:r w:rsidR="00323D42" w:rsidRPr="00610FF2">
              <w:rPr>
                <w:rFonts w:cstheme="minorHAnsi"/>
              </w:rPr>
              <w:t>esign</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3.436</w:t>
            </w:r>
          </w:p>
        </w:tc>
        <w:tc>
          <w:tcPr>
            <w:tcW w:w="137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1.3394</w:t>
            </w:r>
          </w:p>
        </w:tc>
        <w:tc>
          <w:tcPr>
            <w:tcW w:w="1417" w:type="dxa"/>
          </w:tcPr>
          <w:p w:rsidR="00913D1E" w:rsidRPr="00610FF2" w:rsidRDefault="0039067B" w:rsidP="00610FF2">
            <w:pPr>
              <w:autoSpaceDE w:val="0"/>
              <w:autoSpaceDN w:val="0"/>
              <w:adjustRightInd w:val="0"/>
              <w:spacing w:after="0" w:line="240" w:lineRule="auto"/>
              <w:rPr>
                <w:rFonts w:cstheme="minorHAnsi"/>
              </w:rPr>
            </w:pPr>
            <w:r w:rsidRPr="00610FF2">
              <w:rPr>
                <w:rFonts w:cstheme="minorHAnsi"/>
              </w:rPr>
              <w:t>0.953</w:t>
            </w:r>
          </w:p>
        </w:tc>
        <w:tc>
          <w:tcPr>
            <w:tcW w:w="1190" w:type="dxa"/>
          </w:tcPr>
          <w:p w:rsidR="00913D1E" w:rsidRPr="00610FF2" w:rsidRDefault="0039067B" w:rsidP="00610FF2">
            <w:pPr>
              <w:autoSpaceDE w:val="0"/>
              <w:autoSpaceDN w:val="0"/>
              <w:adjustRightInd w:val="0"/>
              <w:spacing w:after="0" w:line="240" w:lineRule="auto"/>
              <w:rPr>
                <w:rFonts w:cstheme="minorHAnsi"/>
              </w:rPr>
            </w:pPr>
            <w:r w:rsidRPr="00610FF2">
              <w:rPr>
                <w:rFonts w:cstheme="minorHAnsi"/>
              </w:rPr>
              <w:t>-</w:t>
            </w:r>
            <w:r w:rsidR="00C1151D" w:rsidRPr="00610FF2">
              <w:rPr>
                <w:rFonts w:cstheme="minorHAnsi"/>
              </w:rPr>
              <w:t>.</w:t>
            </w:r>
            <w:r w:rsidRPr="00610FF2">
              <w:rPr>
                <w:rFonts w:cstheme="minorHAnsi"/>
              </w:rPr>
              <w:t>546</w:t>
            </w:r>
          </w:p>
        </w:tc>
        <w:tc>
          <w:tcPr>
            <w:tcW w:w="1276" w:type="dxa"/>
          </w:tcPr>
          <w:p w:rsidR="00913D1E" w:rsidRPr="00610FF2" w:rsidRDefault="00150D32"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528</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G</w:t>
            </w:r>
            <w:r w:rsidR="00323D42" w:rsidRPr="00610FF2">
              <w:rPr>
                <w:rFonts w:cstheme="minorHAnsi"/>
              </w:rPr>
              <w:t xml:space="preserve">reen </w:t>
            </w:r>
            <w:r w:rsidRPr="00610FF2">
              <w:rPr>
                <w:rFonts w:cstheme="minorHAnsi"/>
              </w:rPr>
              <w:t>M</w:t>
            </w:r>
            <w:r w:rsidR="00323D42" w:rsidRPr="00610FF2">
              <w:rPr>
                <w:rFonts w:cstheme="minorHAnsi"/>
              </w:rPr>
              <w:t>anufacturing</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442A74" w:rsidP="00610FF2">
            <w:pPr>
              <w:autoSpaceDE w:val="0"/>
              <w:autoSpaceDN w:val="0"/>
              <w:adjustRightInd w:val="0"/>
              <w:spacing w:after="0" w:line="240" w:lineRule="auto"/>
              <w:rPr>
                <w:rFonts w:cstheme="minorHAnsi"/>
              </w:rPr>
            </w:pPr>
            <w:r w:rsidRPr="00610FF2">
              <w:rPr>
                <w:rFonts w:cstheme="minorHAnsi"/>
              </w:rPr>
              <w:t>3.69</w:t>
            </w:r>
          </w:p>
        </w:tc>
        <w:tc>
          <w:tcPr>
            <w:tcW w:w="1370" w:type="dxa"/>
          </w:tcPr>
          <w:p w:rsidR="00913D1E" w:rsidRPr="00610FF2" w:rsidRDefault="00442A74" w:rsidP="00610FF2">
            <w:pPr>
              <w:autoSpaceDE w:val="0"/>
              <w:autoSpaceDN w:val="0"/>
              <w:adjustRightInd w:val="0"/>
              <w:spacing w:after="0" w:line="240" w:lineRule="auto"/>
              <w:rPr>
                <w:rFonts w:cstheme="minorHAnsi"/>
              </w:rPr>
            </w:pPr>
            <w:r w:rsidRPr="00610FF2">
              <w:rPr>
                <w:rFonts w:cstheme="minorHAnsi"/>
              </w:rPr>
              <w:t>1.179</w:t>
            </w:r>
            <w:r w:rsidR="00BF4E73" w:rsidRPr="00610FF2">
              <w:rPr>
                <w:rFonts w:cstheme="minorHAnsi"/>
              </w:rPr>
              <w:t>0</w:t>
            </w:r>
          </w:p>
        </w:tc>
        <w:tc>
          <w:tcPr>
            <w:tcW w:w="1417" w:type="dxa"/>
          </w:tcPr>
          <w:p w:rsidR="00913D1E" w:rsidRPr="00610FF2" w:rsidRDefault="00150D32" w:rsidP="00610FF2">
            <w:pPr>
              <w:autoSpaceDE w:val="0"/>
              <w:autoSpaceDN w:val="0"/>
              <w:adjustRightInd w:val="0"/>
              <w:spacing w:after="0" w:line="240" w:lineRule="auto"/>
              <w:rPr>
                <w:rFonts w:cstheme="minorHAnsi"/>
              </w:rPr>
            </w:pPr>
            <w:r w:rsidRPr="00610FF2">
              <w:rPr>
                <w:rFonts w:cstheme="minorHAnsi"/>
              </w:rPr>
              <w:t>0.953</w:t>
            </w:r>
          </w:p>
        </w:tc>
        <w:tc>
          <w:tcPr>
            <w:tcW w:w="1190" w:type="dxa"/>
          </w:tcPr>
          <w:p w:rsidR="00913D1E" w:rsidRPr="00610FF2" w:rsidRDefault="00442A74" w:rsidP="00610FF2">
            <w:pPr>
              <w:autoSpaceDE w:val="0"/>
              <w:autoSpaceDN w:val="0"/>
              <w:adjustRightInd w:val="0"/>
              <w:spacing w:after="0" w:line="240" w:lineRule="auto"/>
              <w:rPr>
                <w:rFonts w:cstheme="minorHAnsi"/>
              </w:rPr>
            </w:pPr>
            <w:r w:rsidRPr="00610FF2">
              <w:rPr>
                <w:rFonts w:cstheme="minorHAnsi"/>
              </w:rPr>
              <w:t>-</w:t>
            </w:r>
            <w:r w:rsidR="00C1151D" w:rsidRPr="00610FF2">
              <w:rPr>
                <w:rFonts w:cstheme="minorHAnsi"/>
              </w:rPr>
              <w:t>.</w:t>
            </w:r>
            <w:r w:rsidRPr="00610FF2">
              <w:rPr>
                <w:rFonts w:cstheme="minorHAnsi"/>
              </w:rPr>
              <w:t>697</w:t>
            </w:r>
          </w:p>
        </w:tc>
        <w:tc>
          <w:tcPr>
            <w:tcW w:w="1276" w:type="dxa"/>
          </w:tcPr>
          <w:p w:rsidR="00913D1E" w:rsidRPr="00610FF2" w:rsidRDefault="00442A74"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287</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G</w:t>
            </w:r>
            <w:r w:rsidR="00323D42" w:rsidRPr="00610FF2">
              <w:rPr>
                <w:rFonts w:cstheme="minorHAnsi"/>
              </w:rPr>
              <w:t xml:space="preserve">reen </w:t>
            </w:r>
            <w:r w:rsidRPr="00610FF2">
              <w:rPr>
                <w:rFonts w:cstheme="minorHAnsi"/>
              </w:rPr>
              <w:t>P</w:t>
            </w:r>
            <w:r w:rsidR="00323D42" w:rsidRPr="00610FF2">
              <w:rPr>
                <w:rFonts w:cstheme="minorHAnsi"/>
              </w:rPr>
              <w:t>urchasing</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20745B" w:rsidP="00610FF2">
            <w:pPr>
              <w:autoSpaceDE w:val="0"/>
              <w:autoSpaceDN w:val="0"/>
              <w:adjustRightInd w:val="0"/>
              <w:spacing w:after="0" w:line="240" w:lineRule="auto"/>
              <w:rPr>
                <w:rFonts w:cstheme="minorHAnsi"/>
              </w:rPr>
            </w:pPr>
            <w:r w:rsidRPr="00610FF2">
              <w:rPr>
                <w:rFonts w:cstheme="minorHAnsi"/>
              </w:rPr>
              <w:t>3.415</w:t>
            </w:r>
          </w:p>
        </w:tc>
        <w:tc>
          <w:tcPr>
            <w:tcW w:w="1370" w:type="dxa"/>
          </w:tcPr>
          <w:p w:rsidR="00913D1E" w:rsidRPr="00610FF2" w:rsidRDefault="0020745B" w:rsidP="00610FF2">
            <w:pPr>
              <w:autoSpaceDE w:val="0"/>
              <w:autoSpaceDN w:val="0"/>
              <w:adjustRightInd w:val="0"/>
              <w:spacing w:after="0" w:line="240" w:lineRule="auto"/>
              <w:rPr>
                <w:rFonts w:cstheme="minorHAnsi"/>
              </w:rPr>
            </w:pPr>
            <w:r w:rsidRPr="00610FF2">
              <w:rPr>
                <w:rFonts w:cstheme="minorHAnsi"/>
              </w:rPr>
              <w:t>1.3340</w:t>
            </w:r>
          </w:p>
        </w:tc>
        <w:tc>
          <w:tcPr>
            <w:tcW w:w="1417" w:type="dxa"/>
          </w:tcPr>
          <w:p w:rsidR="00913D1E" w:rsidRPr="00610FF2" w:rsidRDefault="00150D32" w:rsidP="00610FF2">
            <w:pPr>
              <w:autoSpaceDE w:val="0"/>
              <w:autoSpaceDN w:val="0"/>
              <w:adjustRightInd w:val="0"/>
              <w:spacing w:after="0" w:line="240" w:lineRule="auto"/>
              <w:rPr>
                <w:rFonts w:cstheme="minorHAnsi"/>
              </w:rPr>
            </w:pPr>
            <w:r w:rsidRPr="00610FF2">
              <w:rPr>
                <w:rFonts w:cstheme="minorHAnsi"/>
              </w:rPr>
              <w:t>0.953</w:t>
            </w:r>
          </w:p>
        </w:tc>
        <w:tc>
          <w:tcPr>
            <w:tcW w:w="1190" w:type="dxa"/>
          </w:tcPr>
          <w:p w:rsidR="00913D1E" w:rsidRPr="00610FF2" w:rsidRDefault="00BF4E73" w:rsidP="00610FF2">
            <w:pPr>
              <w:autoSpaceDE w:val="0"/>
              <w:autoSpaceDN w:val="0"/>
              <w:adjustRightInd w:val="0"/>
              <w:spacing w:after="0" w:line="240" w:lineRule="auto"/>
              <w:rPr>
                <w:rFonts w:cstheme="minorHAnsi"/>
              </w:rPr>
            </w:pPr>
            <w:r w:rsidRPr="00610FF2">
              <w:rPr>
                <w:rFonts w:cstheme="minorHAnsi"/>
              </w:rPr>
              <w:t>-</w:t>
            </w:r>
            <w:r w:rsidR="00C1151D" w:rsidRPr="00610FF2">
              <w:rPr>
                <w:rFonts w:cstheme="minorHAnsi"/>
              </w:rPr>
              <w:t>.</w:t>
            </w:r>
            <w:r w:rsidRPr="00610FF2">
              <w:rPr>
                <w:rFonts w:cstheme="minorHAnsi"/>
              </w:rPr>
              <w:t>471</w:t>
            </w:r>
          </w:p>
        </w:tc>
        <w:tc>
          <w:tcPr>
            <w:tcW w:w="1276" w:type="dxa"/>
          </w:tcPr>
          <w:p w:rsidR="00913D1E" w:rsidRPr="00610FF2" w:rsidRDefault="00BF4E73"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607</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R</w:t>
            </w:r>
            <w:r w:rsidR="00323D42" w:rsidRPr="00610FF2">
              <w:rPr>
                <w:rFonts w:cstheme="minorHAnsi"/>
              </w:rPr>
              <w:t xml:space="preserve">everse </w:t>
            </w:r>
            <w:r w:rsidRPr="00610FF2">
              <w:rPr>
                <w:rFonts w:cstheme="minorHAnsi"/>
              </w:rPr>
              <w:t>L</w:t>
            </w:r>
            <w:r w:rsidR="00323D42" w:rsidRPr="00610FF2">
              <w:rPr>
                <w:rFonts w:cstheme="minorHAnsi"/>
              </w:rPr>
              <w:t>ogistics</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BF4E73" w:rsidP="00610FF2">
            <w:pPr>
              <w:autoSpaceDE w:val="0"/>
              <w:autoSpaceDN w:val="0"/>
              <w:adjustRightInd w:val="0"/>
              <w:spacing w:after="0" w:line="240" w:lineRule="auto"/>
              <w:rPr>
                <w:rFonts w:cstheme="minorHAnsi"/>
              </w:rPr>
            </w:pPr>
            <w:r w:rsidRPr="00610FF2">
              <w:rPr>
                <w:rFonts w:cstheme="minorHAnsi"/>
              </w:rPr>
              <w:t>3.66</w:t>
            </w:r>
          </w:p>
        </w:tc>
        <w:tc>
          <w:tcPr>
            <w:tcW w:w="1370" w:type="dxa"/>
          </w:tcPr>
          <w:p w:rsidR="00913D1E" w:rsidRPr="00610FF2" w:rsidRDefault="00BF4E73" w:rsidP="00610FF2">
            <w:pPr>
              <w:autoSpaceDE w:val="0"/>
              <w:autoSpaceDN w:val="0"/>
              <w:adjustRightInd w:val="0"/>
              <w:spacing w:after="0" w:line="240" w:lineRule="auto"/>
              <w:rPr>
                <w:rFonts w:cstheme="minorHAnsi"/>
              </w:rPr>
            </w:pPr>
            <w:r w:rsidRPr="00610FF2">
              <w:rPr>
                <w:rFonts w:cstheme="minorHAnsi"/>
              </w:rPr>
              <w:t>1.2017</w:t>
            </w:r>
          </w:p>
        </w:tc>
        <w:tc>
          <w:tcPr>
            <w:tcW w:w="1417" w:type="dxa"/>
          </w:tcPr>
          <w:p w:rsidR="00913D1E" w:rsidRPr="00610FF2" w:rsidRDefault="00150D32" w:rsidP="00610FF2">
            <w:pPr>
              <w:autoSpaceDE w:val="0"/>
              <w:autoSpaceDN w:val="0"/>
              <w:adjustRightInd w:val="0"/>
              <w:spacing w:after="0" w:line="240" w:lineRule="auto"/>
              <w:rPr>
                <w:rFonts w:cstheme="minorHAnsi"/>
              </w:rPr>
            </w:pPr>
            <w:r w:rsidRPr="00610FF2">
              <w:rPr>
                <w:rFonts w:cstheme="minorHAnsi"/>
              </w:rPr>
              <w:t>0.954</w:t>
            </w:r>
          </w:p>
        </w:tc>
        <w:tc>
          <w:tcPr>
            <w:tcW w:w="1190" w:type="dxa"/>
          </w:tcPr>
          <w:p w:rsidR="00913D1E" w:rsidRPr="00610FF2" w:rsidRDefault="00595F61"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693</w:t>
            </w:r>
          </w:p>
        </w:tc>
        <w:tc>
          <w:tcPr>
            <w:tcW w:w="1276" w:type="dxa"/>
          </w:tcPr>
          <w:p w:rsidR="00913D1E" w:rsidRPr="00610FF2" w:rsidRDefault="00595F61"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665</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E</w:t>
            </w:r>
            <w:r w:rsidR="0010117B" w:rsidRPr="00610FF2">
              <w:rPr>
                <w:rFonts w:cstheme="minorHAnsi"/>
              </w:rPr>
              <w:t>nv</w:t>
            </w:r>
            <w:r w:rsidR="00323D42" w:rsidRPr="00610FF2">
              <w:rPr>
                <w:rFonts w:cstheme="minorHAnsi"/>
              </w:rPr>
              <w:t xml:space="preserve">ironmental </w:t>
            </w:r>
            <w:r w:rsidRPr="00610FF2">
              <w:rPr>
                <w:rFonts w:cstheme="minorHAnsi"/>
              </w:rPr>
              <w:t>P</w:t>
            </w:r>
            <w:r w:rsidR="00323D42" w:rsidRPr="00610FF2">
              <w:rPr>
                <w:rFonts w:cstheme="minorHAnsi"/>
              </w:rPr>
              <w:t>erformance</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595F61" w:rsidP="00610FF2">
            <w:pPr>
              <w:autoSpaceDE w:val="0"/>
              <w:autoSpaceDN w:val="0"/>
              <w:adjustRightInd w:val="0"/>
              <w:spacing w:after="0" w:line="240" w:lineRule="auto"/>
              <w:rPr>
                <w:rFonts w:cstheme="minorHAnsi"/>
              </w:rPr>
            </w:pPr>
            <w:r w:rsidRPr="00610FF2">
              <w:rPr>
                <w:rFonts w:cstheme="minorHAnsi"/>
              </w:rPr>
              <w:t>3.574</w:t>
            </w:r>
          </w:p>
        </w:tc>
        <w:tc>
          <w:tcPr>
            <w:tcW w:w="1370" w:type="dxa"/>
          </w:tcPr>
          <w:p w:rsidR="00913D1E" w:rsidRPr="00610FF2" w:rsidRDefault="00595F61" w:rsidP="00610FF2">
            <w:pPr>
              <w:autoSpaceDE w:val="0"/>
              <w:autoSpaceDN w:val="0"/>
              <w:adjustRightInd w:val="0"/>
              <w:spacing w:after="0" w:line="240" w:lineRule="auto"/>
              <w:rPr>
                <w:rFonts w:cstheme="minorHAnsi"/>
              </w:rPr>
            </w:pPr>
            <w:r w:rsidRPr="00610FF2">
              <w:rPr>
                <w:rFonts w:cstheme="minorHAnsi"/>
              </w:rPr>
              <w:t>1.2868</w:t>
            </w:r>
          </w:p>
        </w:tc>
        <w:tc>
          <w:tcPr>
            <w:tcW w:w="1417" w:type="dxa"/>
          </w:tcPr>
          <w:p w:rsidR="00913D1E" w:rsidRPr="00610FF2" w:rsidRDefault="00787565" w:rsidP="00610FF2">
            <w:pPr>
              <w:autoSpaceDE w:val="0"/>
              <w:autoSpaceDN w:val="0"/>
              <w:adjustRightInd w:val="0"/>
              <w:spacing w:after="0" w:line="240" w:lineRule="auto"/>
              <w:rPr>
                <w:rFonts w:cstheme="minorHAnsi"/>
              </w:rPr>
            </w:pPr>
            <w:r w:rsidRPr="00610FF2">
              <w:rPr>
                <w:rFonts w:cstheme="minorHAnsi"/>
              </w:rPr>
              <w:t>0.961</w:t>
            </w:r>
          </w:p>
        </w:tc>
        <w:tc>
          <w:tcPr>
            <w:tcW w:w="1190" w:type="dxa"/>
          </w:tcPr>
          <w:p w:rsidR="00913D1E" w:rsidRPr="00610FF2" w:rsidRDefault="00D56BC5"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731</w:t>
            </w:r>
          </w:p>
        </w:tc>
        <w:tc>
          <w:tcPr>
            <w:tcW w:w="1276" w:type="dxa"/>
          </w:tcPr>
          <w:p w:rsidR="00913D1E" w:rsidRPr="00610FF2" w:rsidRDefault="00D56BC5"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436</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S</w:t>
            </w:r>
            <w:r w:rsidR="00323D42" w:rsidRPr="00610FF2">
              <w:rPr>
                <w:rFonts w:cstheme="minorHAnsi"/>
              </w:rPr>
              <w:t xml:space="preserve">ocial </w:t>
            </w:r>
            <w:r w:rsidRPr="00610FF2">
              <w:rPr>
                <w:rFonts w:cstheme="minorHAnsi"/>
              </w:rPr>
              <w:t>P</w:t>
            </w:r>
            <w:r w:rsidR="00323D42" w:rsidRPr="00610FF2">
              <w:rPr>
                <w:rFonts w:cstheme="minorHAnsi"/>
              </w:rPr>
              <w:t>erformance</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D56BC5" w:rsidP="00610FF2">
            <w:pPr>
              <w:autoSpaceDE w:val="0"/>
              <w:autoSpaceDN w:val="0"/>
              <w:adjustRightInd w:val="0"/>
              <w:spacing w:after="0" w:line="240" w:lineRule="auto"/>
              <w:rPr>
                <w:rFonts w:cstheme="minorHAnsi"/>
              </w:rPr>
            </w:pPr>
            <w:r w:rsidRPr="00610FF2">
              <w:rPr>
                <w:rFonts w:cstheme="minorHAnsi"/>
              </w:rPr>
              <w:t>3.432</w:t>
            </w:r>
          </w:p>
        </w:tc>
        <w:tc>
          <w:tcPr>
            <w:tcW w:w="1370" w:type="dxa"/>
          </w:tcPr>
          <w:p w:rsidR="00913D1E" w:rsidRPr="00610FF2" w:rsidRDefault="00D56BC5" w:rsidP="00610FF2">
            <w:pPr>
              <w:autoSpaceDE w:val="0"/>
              <w:autoSpaceDN w:val="0"/>
              <w:adjustRightInd w:val="0"/>
              <w:spacing w:after="0" w:line="240" w:lineRule="auto"/>
              <w:rPr>
                <w:rFonts w:cstheme="minorHAnsi"/>
              </w:rPr>
            </w:pPr>
            <w:r w:rsidRPr="00610FF2">
              <w:rPr>
                <w:rFonts w:cstheme="minorHAnsi"/>
              </w:rPr>
              <w:t>1..2752</w:t>
            </w:r>
          </w:p>
        </w:tc>
        <w:tc>
          <w:tcPr>
            <w:tcW w:w="1417" w:type="dxa"/>
          </w:tcPr>
          <w:p w:rsidR="00913D1E" w:rsidRPr="00610FF2" w:rsidRDefault="00787565" w:rsidP="00610FF2">
            <w:pPr>
              <w:autoSpaceDE w:val="0"/>
              <w:autoSpaceDN w:val="0"/>
              <w:adjustRightInd w:val="0"/>
              <w:spacing w:after="0" w:line="240" w:lineRule="auto"/>
              <w:rPr>
                <w:rFonts w:cstheme="minorHAnsi"/>
              </w:rPr>
            </w:pPr>
            <w:r w:rsidRPr="00610FF2">
              <w:rPr>
                <w:rFonts w:cstheme="minorHAnsi"/>
              </w:rPr>
              <w:t>0.961</w:t>
            </w:r>
          </w:p>
        </w:tc>
        <w:tc>
          <w:tcPr>
            <w:tcW w:w="1190" w:type="dxa"/>
          </w:tcPr>
          <w:p w:rsidR="00913D1E" w:rsidRPr="00610FF2" w:rsidRDefault="0010117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509</w:t>
            </w:r>
          </w:p>
        </w:tc>
        <w:tc>
          <w:tcPr>
            <w:tcW w:w="1276" w:type="dxa"/>
          </w:tcPr>
          <w:p w:rsidR="00913D1E" w:rsidRPr="00610FF2" w:rsidRDefault="005A7BAE"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673</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E</w:t>
            </w:r>
            <w:r w:rsidR="00323D42" w:rsidRPr="00610FF2">
              <w:rPr>
                <w:rFonts w:cstheme="minorHAnsi"/>
              </w:rPr>
              <w:t xml:space="preserve">conomic </w:t>
            </w:r>
            <w:r w:rsidRPr="00610FF2">
              <w:rPr>
                <w:rFonts w:cstheme="minorHAnsi"/>
              </w:rPr>
              <w:t>P</w:t>
            </w:r>
            <w:r w:rsidR="00323D42" w:rsidRPr="00610FF2">
              <w:rPr>
                <w:rFonts w:cstheme="minorHAnsi"/>
              </w:rPr>
              <w:t>erformance</w:t>
            </w:r>
          </w:p>
        </w:tc>
        <w:tc>
          <w:tcPr>
            <w:tcW w:w="709" w:type="dxa"/>
          </w:tcPr>
          <w:p w:rsidR="00913D1E" w:rsidRPr="00610FF2" w:rsidRDefault="00913D1E"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913D1E" w:rsidRPr="00610FF2" w:rsidRDefault="00807471" w:rsidP="00610FF2">
            <w:pPr>
              <w:autoSpaceDE w:val="0"/>
              <w:autoSpaceDN w:val="0"/>
              <w:adjustRightInd w:val="0"/>
              <w:spacing w:after="0" w:line="240" w:lineRule="auto"/>
              <w:rPr>
                <w:rFonts w:cstheme="minorHAnsi"/>
              </w:rPr>
            </w:pPr>
            <w:r w:rsidRPr="00610FF2">
              <w:rPr>
                <w:rFonts w:cstheme="minorHAnsi"/>
              </w:rPr>
              <w:t>3.311</w:t>
            </w:r>
          </w:p>
        </w:tc>
        <w:tc>
          <w:tcPr>
            <w:tcW w:w="1370" w:type="dxa"/>
          </w:tcPr>
          <w:p w:rsidR="00913D1E" w:rsidRPr="00610FF2" w:rsidRDefault="00807471" w:rsidP="00610FF2">
            <w:pPr>
              <w:autoSpaceDE w:val="0"/>
              <w:autoSpaceDN w:val="0"/>
              <w:adjustRightInd w:val="0"/>
              <w:spacing w:after="0" w:line="240" w:lineRule="auto"/>
              <w:rPr>
                <w:rFonts w:cstheme="minorHAnsi"/>
              </w:rPr>
            </w:pPr>
            <w:r w:rsidRPr="00610FF2">
              <w:rPr>
                <w:rFonts w:cstheme="minorHAnsi"/>
              </w:rPr>
              <w:t>1.2786</w:t>
            </w:r>
          </w:p>
        </w:tc>
        <w:tc>
          <w:tcPr>
            <w:tcW w:w="1417" w:type="dxa"/>
          </w:tcPr>
          <w:p w:rsidR="00913D1E" w:rsidRPr="00610FF2" w:rsidRDefault="00787565" w:rsidP="00610FF2">
            <w:pPr>
              <w:autoSpaceDE w:val="0"/>
              <w:autoSpaceDN w:val="0"/>
              <w:adjustRightInd w:val="0"/>
              <w:spacing w:after="0" w:line="240" w:lineRule="auto"/>
              <w:rPr>
                <w:rFonts w:cstheme="minorHAnsi"/>
              </w:rPr>
            </w:pPr>
            <w:r w:rsidRPr="00610FF2">
              <w:rPr>
                <w:rFonts w:cstheme="minorHAnsi"/>
              </w:rPr>
              <w:t>0.962</w:t>
            </w:r>
          </w:p>
        </w:tc>
        <w:tc>
          <w:tcPr>
            <w:tcW w:w="1190" w:type="dxa"/>
          </w:tcPr>
          <w:p w:rsidR="00913D1E" w:rsidRPr="00610FF2" w:rsidRDefault="00807471"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414</w:t>
            </w:r>
          </w:p>
        </w:tc>
        <w:tc>
          <w:tcPr>
            <w:tcW w:w="1276" w:type="dxa"/>
          </w:tcPr>
          <w:p w:rsidR="00913D1E" w:rsidRPr="00610FF2" w:rsidRDefault="005A7BAE"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549</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Gov. legislation</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3.78</w:t>
            </w:r>
          </w:p>
        </w:tc>
        <w:tc>
          <w:tcPr>
            <w:tcW w:w="137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1.197</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0.873</w:t>
            </w:r>
          </w:p>
        </w:tc>
        <w:tc>
          <w:tcPr>
            <w:tcW w:w="119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935</w:t>
            </w:r>
          </w:p>
        </w:tc>
        <w:tc>
          <w:tcPr>
            <w:tcW w:w="1276"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.066</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 xml:space="preserve">Management commitment </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3.80</w:t>
            </w:r>
          </w:p>
        </w:tc>
        <w:tc>
          <w:tcPr>
            <w:tcW w:w="137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.999</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0.883</w:t>
            </w:r>
          </w:p>
        </w:tc>
        <w:tc>
          <w:tcPr>
            <w:tcW w:w="119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812</w:t>
            </w:r>
          </w:p>
        </w:tc>
        <w:tc>
          <w:tcPr>
            <w:tcW w:w="1276"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.612</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Suppliers support</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3.37</w:t>
            </w:r>
          </w:p>
        </w:tc>
        <w:tc>
          <w:tcPr>
            <w:tcW w:w="137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1.329</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0.872</w:t>
            </w:r>
          </w:p>
        </w:tc>
        <w:tc>
          <w:tcPr>
            <w:tcW w:w="119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480</w:t>
            </w:r>
          </w:p>
        </w:tc>
        <w:tc>
          <w:tcPr>
            <w:tcW w:w="1276"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914</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 xml:space="preserve">Customer support </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3.67</w:t>
            </w:r>
          </w:p>
        </w:tc>
        <w:tc>
          <w:tcPr>
            <w:tcW w:w="137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1.197</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0.869</w:t>
            </w:r>
          </w:p>
        </w:tc>
        <w:tc>
          <w:tcPr>
            <w:tcW w:w="1190"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659</w:t>
            </w:r>
          </w:p>
        </w:tc>
        <w:tc>
          <w:tcPr>
            <w:tcW w:w="1276" w:type="dxa"/>
          </w:tcPr>
          <w:p w:rsidR="005A7BAE" w:rsidRPr="00610FF2" w:rsidRDefault="00FF193B"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301</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ISO certification</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AB42C2" w:rsidP="00610FF2">
            <w:pPr>
              <w:autoSpaceDE w:val="0"/>
              <w:autoSpaceDN w:val="0"/>
              <w:adjustRightInd w:val="0"/>
              <w:spacing w:after="0" w:line="240" w:lineRule="auto"/>
              <w:rPr>
                <w:rFonts w:cstheme="minorHAnsi"/>
              </w:rPr>
            </w:pPr>
            <w:r w:rsidRPr="00610FF2">
              <w:rPr>
                <w:rFonts w:cstheme="minorHAnsi"/>
              </w:rPr>
              <w:t>3.84</w:t>
            </w:r>
          </w:p>
        </w:tc>
        <w:tc>
          <w:tcPr>
            <w:tcW w:w="1370" w:type="dxa"/>
          </w:tcPr>
          <w:p w:rsidR="005A7BAE" w:rsidRPr="00610FF2" w:rsidRDefault="00AB42C2" w:rsidP="00610FF2">
            <w:pPr>
              <w:autoSpaceDE w:val="0"/>
              <w:autoSpaceDN w:val="0"/>
              <w:adjustRightInd w:val="0"/>
              <w:spacing w:after="0" w:line="240" w:lineRule="auto"/>
              <w:rPr>
                <w:rFonts w:cstheme="minorHAnsi"/>
              </w:rPr>
            </w:pPr>
            <w:r w:rsidRPr="00610FF2">
              <w:rPr>
                <w:rFonts w:cstheme="minorHAnsi"/>
              </w:rPr>
              <w:t>1.202</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0.875</w:t>
            </w:r>
          </w:p>
        </w:tc>
        <w:tc>
          <w:tcPr>
            <w:tcW w:w="1190" w:type="dxa"/>
          </w:tcPr>
          <w:p w:rsidR="005A7BAE" w:rsidRPr="00610FF2" w:rsidRDefault="00AB42C2"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912</w:t>
            </w:r>
          </w:p>
        </w:tc>
        <w:tc>
          <w:tcPr>
            <w:tcW w:w="1276"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.088</w:t>
            </w:r>
          </w:p>
        </w:tc>
      </w:tr>
      <w:tr w:rsidR="005A7BAE" w:rsidRPr="00610FF2" w:rsidTr="00825B57">
        <w:trPr>
          <w:jc w:val="center"/>
        </w:trPr>
        <w:tc>
          <w:tcPr>
            <w:tcW w:w="1980"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Information sharing</w:t>
            </w:r>
          </w:p>
        </w:tc>
        <w:tc>
          <w:tcPr>
            <w:tcW w:w="709" w:type="dxa"/>
          </w:tcPr>
          <w:p w:rsidR="005A7BAE" w:rsidRPr="00610FF2" w:rsidRDefault="00323D42" w:rsidP="00610FF2">
            <w:pPr>
              <w:autoSpaceDE w:val="0"/>
              <w:autoSpaceDN w:val="0"/>
              <w:adjustRightInd w:val="0"/>
              <w:spacing w:after="0" w:line="240" w:lineRule="auto"/>
              <w:rPr>
                <w:rFonts w:cstheme="minorHAnsi"/>
              </w:rPr>
            </w:pPr>
            <w:r w:rsidRPr="00610FF2">
              <w:rPr>
                <w:rFonts w:cstheme="minorHAnsi"/>
              </w:rPr>
              <w:t>82</w:t>
            </w:r>
          </w:p>
        </w:tc>
        <w:tc>
          <w:tcPr>
            <w:tcW w:w="850"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3.70</w:t>
            </w:r>
          </w:p>
        </w:tc>
        <w:tc>
          <w:tcPr>
            <w:tcW w:w="1370"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1.193</w:t>
            </w:r>
          </w:p>
        </w:tc>
        <w:tc>
          <w:tcPr>
            <w:tcW w:w="1417"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0.860</w:t>
            </w:r>
          </w:p>
        </w:tc>
        <w:tc>
          <w:tcPr>
            <w:tcW w:w="1190"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w:t>
            </w:r>
            <w:r w:rsidR="00DA6978" w:rsidRPr="00610FF2">
              <w:rPr>
                <w:rFonts w:cstheme="minorHAnsi"/>
              </w:rPr>
              <w:t>.</w:t>
            </w:r>
            <w:r w:rsidRPr="00610FF2">
              <w:rPr>
                <w:rFonts w:cstheme="minorHAnsi"/>
              </w:rPr>
              <w:t>946</w:t>
            </w:r>
          </w:p>
        </w:tc>
        <w:tc>
          <w:tcPr>
            <w:tcW w:w="1276" w:type="dxa"/>
          </w:tcPr>
          <w:p w:rsidR="005A7BAE" w:rsidRPr="00610FF2" w:rsidRDefault="004C0D5F" w:rsidP="00610FF2">
            <w:pPr>
              <w:autoSpaceDE w:val="0"/>
              <w:autoSpaceDN w:val="0"/>
              <w:adjustRightInd w:val="0"/>
              <w:spacing w:after="0" w:line="240" w:lineRule="auto"/>
              <w:rPr>
                <w:rFonts w:cstheme="minorHAnsi"/>
              </w:rPr>
            </w:pPr>
            <w:r w:rsidRPr="00610FF2">
              <w:rPr>
                <w:rFonts w:cstheme="minorHAnsi"/>
              </w:rPr>
              <w:t>.259</w:t>
            </w:r>
          </w:p>
        </w:tc>
      </w:tr>
      <w:tr w:rsidR="00913D1E" w:rsidRPr="00610FF2" w:rsidTr="00825B57">
        <w:trPr>
          <w:jc w:val="center"/>
        </w:trPr>
        <w:tc>
          <w:tcPr>
            <w:tcW w:w="1980"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Valid No</w:t>
            </w:r>
          </w:p>
        </w:tc>
        <w:tc>
          <w:tcPr>
            <w:tcW w:w="709" w:type="dxa"/>
          </w:tcPr>
          <w:p w:rsidR="00913D1E" w:rsidRPr="00610FF2" w:rsidRDefault="00913D1E" w:rsidP="00610FF2">
            <w:pPr>
              <w:autoSpaceDE w:val="0"/>
              <w:autoSpaceDN w:val="0"/>
              <w:adjustRightInd w:val="0"/>
              <w:spacing w:after="0" w:line="240" w:lineRule="auto"/>
              <w:rPr>
                <w:rFonts w:cstheme="minorHAnsi"/>
                <w:b/>
              </w:rPr>
            </w:pPr>
            <w:r w:rsidRPr="00610FF2">
              <w:rPr>
                <w:rFonts w:cstheme="minorHAnsi"/>
                <w:b/>
              </w:rPr>
              <w:t>82</w:t>
            </w:r>
          </w:p>
        </w:tc>
        <w:tc>
          <w:tcPr>
            <w:tcW w:w="850" w:type="dxa"/>
          </w:tcPr>
          <w:p w:rsidR="00913D1E" w:rsidRPr="00610FF2" w:rsidRDefault="00913D1E" w:rsidP="00610FF2">
            <w:pPr>
              <w:autoSpaceDE w:val="0"/>
              <w:autoSpaceDN w:val="0"/>
              <w:adjustRightInd w:val="0"/>
              <w:spacing w:after="0" w:line="240" w:lineRule="auto"/>
              <w:rPr>
                <w:rFonts w:cstheme="minorHAnsi"/>
              </w:rPr>
            </w:pPr>
          </w:p>
        </w:tc>
        <w:tc>
          <w:tcPr>
            <w:tcW w:w="1370" w:type="dxa"/>
          </w:tcPr>
          <w:p w:rsidR="00913D1E" w:rsidRPr="00610FF2" w:rsidRDefault="00913D1E" w:rsidP="00610FF2">
            <w:pPr>
              <w:autoSpaceDE w:val="0"/>
              <w:autoSpaceDN w:val="0"/>
              <w:adjustRightInd w:val="0"/>
              <w:spacing w:after="0" w:line="240" w:lineRule="auto"/>
              <w:rPr>
                <w:rFonts w:cstheme="minorHAnsi"/>
              </w:rPr>
            </w:pPr>
          </w:p>
        </w:tc>
        <w:tc>
          <w:tcPr>
            <w:tcW w:w="1417" w:type="dxa"/>
          </w:tcPr>
          <w:p w:rsidR="00913D1E" w:rsidRPr="00610FF2" w:rsidRDefault="00913D1E" w:rsidP="00610FF2">
            <w:pPr>
              <w:autoSpaceDE w:val="0"/>
              <w:autoSpaceDN w:val="0"/>
              <w:adjustRightInd w:val="0"/>
              <w:spacing w:after="0" w:line="240" w:lineRule="auto"/>
              <w:rPr>
                <w:rFonts w:cstheme="minorHAnsi"/>
              </w:rPr>
            </w:pPr>
          </w:p>
        </w:tc>
        <w:tc>
          <w:tcPr>
            <w:tcW w:w="1190" w:type="dxa"/>
          </w:tcPr>
          <w:p w:rsidR="00913D1E" w:rsidRPr="00610FF2" w:rsidRDefault="00913D1E" w:rsidP="00610FF2">
            <w:pPr>
              <w:autoSpaceDE w:val="0"/>
              <w:autoSpaceDN w:val="0"/>
              <w:adjustRightInd w:val="0"/>
              <w:spacing w:after="0" w:line="240" w:lineRule="auto"/>
              <w:rPr>
                <w:rFonts w:cstheme="minorHAnsi"/>
              </w:rPr>
            </w:pPr>
          </w:p>
        </w:tc>
        <w:tc>
          <w:tcPr>
            <w:tcW w:w="1276" w:type="dxa"/>
          </w:tcPr>
          <w:p w:rsidR="00913D1E" w:rsidRPr="00610FF2" w:rsidRDefault="00913D1E" w:rsidP="00610FF2">
            <w:pPr>
              <w:autoSpaceDE w:val="0"/>
              <w:autoSpaceDN w:val="0"/>
              <w:adjustRightInd w:val="0"/>
              <w:spacing w:after="0" w:line="240" w:lineRule="auto"/>
              <w:rPr>
                <w:rFonts w:cstheme="minorHAnsi"/>
              </w:rPr>
            </w:pPr>
          </w:p>
        </w:tc>
      </w:tr>
    </w:tbl>
    <w:p w:rsidR="00C27D1F" w:rsidRPr="00C11318" w:rsidRDefault="00C27D1F" w:rsidP="001E4B04">
      <w:pPr>
        <w:autoSpaceDE w:val="0"/>
        <w:autoSpaceDN w:val="0"/>
        <w:adjustRightInd w:val="0"/>
        <w:spacing w:after="0" w:line="240" w:lineRule="auto"/>
        <w:jc w:val="center"/>
        <w:rPr>
          <w:rFonts w:cstheme="minorHAnsi"/>
          <w:sz w:val="6"/>
        </w:rPr>
      </w:pPr>
    </w:p>
    <w:p w:rsidR="001E4B04" w:rsidRPr="00610FF2" w:rsidRDefault="001E4B04" w:rsidP="001E4B04">
      <w:pPr>
        <w:autoSpaceDE w:val="0"/>
        <w:autoSpaceDN w:val="0"/>
        <w:adjustRightInd w:val="0"/>
        <w:spacing w:after="0" w:line="240" w:lineRule="auto"/>
        <w:jc w:val="center"/>
        <w:rPr>
          <w:rFonts w:cstheme="minorHAnsi"/>
        </w:rPr>
      </w:pPr>
      <w:r w:rsidRPr="00610FF2">
        <w:rPr>
          <w:rFonts w:cstheme="minorHAnsi"/>
        </w:rPr>
        <w:t xml:space="preserve">Table </w:t>
      </w:r>
      <w:r>
        <w:rPr>
          <w:rFonts w:cstheme="minorHAnsi"/>
        </w:rPr>
        <w:t>5</w:t>
      </w:r>
      <w:r w:rsidRPr="00610FF2">
        <w:rPr>
          <w:rFonts w:cstheme="minorHAnsi"/>
        </w:rPr>
        <w:t>: Descriptive statistics</w:t>
      </w:r>
    </w:p>
    <w:p w:rsidR="00C11318" w:rsidRDefault="00C11318"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6065F5" w:rsidRDefault="006065F5" w:rsidP="002D4924">
      <w:pPr>
        <w:spacing w:after="0" w:line="240" w:lineRule="auto"/>
        <w:jc w:val="both"/>
        <w:rPr>
          <w:rFonts w:cstheme="minorHAnsi"/>
          <w:sz w:val="10"/>
        </w:rPr>
      </w:pPr>
    </w:p>
    <w:p w:rsidR="004C0D5F" w:rsidRPr="00C11318" w:rsidRDefault="002D4924" w:rsidP="002D4924">
      <w:pPr>
        <w:spacing w:after="0" w:line="240" w:lineRule="auto"/>
        <w:jc w:val="both"/>
        <w:rPr>
          <w:rFonts w:cstheme="minorHAnsi"/>
          <w:sz w:val="20"/>
        </w:rPr>
      </w:pPr>
      <w:r w:rsidRPr="00610FF2">
        <w:rPr>
          <w:rFonts w:cstheme="minorHAnsi"/>
          <w:b/>
          <w:bCs/>
          <w:color w:val="010205"/>
        </w:rPr>
        <w:lastRenderedPageBreak/>
        <w:t>5.1 Factor analysis</w:t>
      </w:r>
    </w:p>
    <w:p w:rsidR="004C0D5F" w:rsidRPr="00C11318" w:rsidRDefault="004C0D5F" w:rsidP="00610FF2">
      <w:pPr>
        <w:autoSpaceDE w:val="0"/>
        <w:autoSpaceDN w:val="0"/>
        <w:adjustRightInd w:val="0"/>
        <w:spacing w:after="0" w:line="240" w:lineRule="auto"/>
        <w:rPr>
          <w:rFonts w:cstheme="minorHAnsi"/>
          <w:sz w:val="6"/>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1"/>
        <w:gridCol w:w="1028"/>
        <w:gridCol w:w="1445"/>
        <w:gridCol w:w="1461"/>
        <w:gridCol w:w="1169"/>
        <w:gridCol w:w="1445"/>
        <w:gridCol w:w="1461"/>
      </w:tblGrid>
      <w:tr w:rsidR="004C0D5F" w:rsidRPr="00610FF2" w:rsidTr="002D4924">
        <w:trPr>
          <w:cantSplit/>
          <w:jc w:val="center"/>
        </w:trPr>
        <w:tc>
          <w:tcPr>
            <w:tcW w:w="1291" w:type="dxa"/>
            <w:vMerge w:val="restart"/>
            <w:tcBorders>
              <w:top w:val="nil"/>
              <w:left w:val="nil"/>
              <w:bottom w:val="nil"/>
              <w:right w:val="nil"/>
            </w:tcBorders>
            <w:shd w:val="clear" w:color="auto" w:fill="FFFFFF"/>
            <w:vAlign w:val="bottom"/>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Component</w:t>
            </w:r>
          </w:p>
        </w:tc>
        <w:tc>
          <w:tcPr>
            <w:tcW w:w="3934" w:type="dxa"/>
            <w:gridSpan w:val="3"/>
            <w:tcBorders>
              <w:top w:val="nil"/>
              <w:left w:val="nil"/>
              <w:bottom w:val="nil"/>
              <w:right w:val="nil"/>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Initial Eigenvalues</w:t>
            </w:r>
          </w:p>
        </w:tc>
        <w:tc>
          <w:tcPr>
            <w:tcW w:w="4075" w:type="dxa"/>
            <w:gridSpan w:val="3"/>
            <w:tcBorders>
              <w:top w:val="nil"/>
              <w:left w:val="single" w:sz="8" w:space="0" w:color="E0E0E0"/>
              <w:bottom w:val="nil"/>
              <w:right w:val="nil"/>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Extraction Sums of Squared Loadings</w:t>
            </w:r>
          </w:p>
        </w:tc>
      </w:tr>
      <w:tr w:rsidR="004C0D5F" w:rsidRPr="00610FF2" w:rsidTr="002D4924">
        <w:trPr>
          <w:cantSplit/>
          <w:jc w:val="center"/>
        </w:trPr>
        <w:tc>
          <w:tcPr>
            <w:tcW w:w="1291" w:type="dxa"/>
            <w:vMerge/>
            <w:tcBorders>
              <w:top w:val="nil"/>
              <w:left w:val="nil"/>
              <w:bottom w:val="nil"/>
              <w:right w:val="nil"/>
            </w:tcBorders>
            <w:shd w:val="clear" w:color="auto" w:fill="FFFFFF"/>
            <w:vAlign w:val="bottom"/>
          </w:tcPr>
          <w:p w:rsidR="004C0D5F" w:rsidRPr="00610FF2" w:rsidRDefault="004C0D5F" w:rsidP="00610FF2">
            <w:pPr>
              <w:autoSpaceDE w:val="0"/>
              <w:autoSpaceDN w:val="0"/>
              <w:adjustRightInd w:val="0"/>
              <w:spacing w:after="0" w:line="240" w:lineRule="auto"/>
              <w:rPr>
                <w:rFonts w:cstheme="minorHAnsi"/>
                <w:color w:val="264A60"/>
                <w:sz w:val="18"/>
                <w:szCs w:val="18"/>
              </w:rPr>
            </w:pPr>
          </w:p>
        </w:tc>
        <w:tc>
          <w:tcPr>
            <w:tcW w:w="1028" w:type="dxa"/>
            <w:tcBorders>
              <w:top w:val="nil"/>
              <w:left w:val="nil"/>
              <w:bottom w:val="single" w:sz="8" w:space="0" w:color="152935"/>
              <w:right w:val="single" w:sz="8" w:space="0" w:color="E0E0E0"/>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Total</w:t>
            </w:r>
          </w:p>
        </w:tc>
        <w:tc>
          <w:tcPr>
            <w:tcW w:w="1445" w:type="dxa"/>
            <w:tcBorders>
              <w:top w:val="nil"/>
              <w:left w:val="single" w:sz="8" w:space="0" w:color="E0E0E0"/>
              <w:bottom w:val="single" w:sz="8" w:space="0" w:color="152935"/>
              <w:right w:val="single" w:sz="8" w:space="0" w:color="E0E0E0"/>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 of Variance</w:t>
            </w:r>
          </w:p>
        </w:tc>
        <w:tc>
          <w:tcPr>
            <w:tcW w:w="1461" w:type="dxa"/>
            <w:tcBorders>
              <w:top w:val="nil"/>
              <w:left w:val="single" w:sz="8" w:space="0" w:color="E0E0E0"/>
              <w:bottom w:val="single" w:sz="8" w:space="0" w:color="152935"/>
              <w:right w:val="nil"/>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Cumulative %</w:t>
            </w:r>
          </w:p>
        </w:tc>
        <w:tc>
          <w:tcPr>
            <w:tcW w:w="1169" w:type="dxa"/>
            <w:tcBorders>
              <w:top w:val="nil"/>
              <w:left w:val="single" w:sz="8" w:space="0" w:color="E0E0E0"/>
              <w:bottom w:val="single" w:sz="8" w:space="0" w:color="152935"/>
              <w:right w:val="single" w:sz="8" w:space="0" w:color="E0E0E0"/>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rPr>
            </w:pPr>
            <w:r w:rsidRPr="00610FF2">
              <w:rPr>
                <w:rFonts w:cstheme="minorHAnsi"/>
                <w:color w:val="264A60"/>
              </w:rPr>
              <w:t>Total</w:t>
            </w:r>
          </w:p>
        </w:tc>
        <w:tc>
          <w:tcPr>
            <w:tcW w:w="1445" w:type="dxa"/>
            <w:tcBorders>
              <w:top w:val="nil"/>
              <w:left w:val="single" w:sz="8" w:space="0" w:color="E0E0E0"/>
              <w:bottom w:val="single" w:sz="8" w:space="0" w:color="152935"/>
              <w:right w:val="single" w:sz="8" w:space="0" w:color="E0E0E0"/>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 of Variance</w:t>
            </w:r>
          </w:p>
        </w:tc>
        <w:tc>
          <w:tcPr>
            <w:tcW w:w="1461" w:type="dxa"/>
            <w:tcBorders>
              <w:top w:val="nil"/>
              <w:left w:val="single" w:sz="8" w:space="0" w:color="E0E0E0"/>
              <w:bottom w:val="single" w:sz="8" w:space="0" w:color="152935"/>
              <w:right w:val="nil"/>
            </w:tcBorders>
            <w:shd w:val="clear" w:color="auto" w:fill="FFFFFF"/>
            <w:vAlign w:val="bottom"/>
          </w:tcPr>
          <w:p w:rsidR="004C0D5F" w:rsidRPr="00610FF2" w:rsidRDefault="004C0D5F" w:rsidP="00610FF2">
            <w:pPr>
              <w:autoSpaceDE w:val="0"/>
              <w:autoSpaceDN w:val="0"/>
              <w:adjustRightInd w:val="0"/>
              <w:spacing w:after="0" w:line="240" w:lineRule="auto"/>
              <w:ind w:left="60" w:right="60"/>
              <w:jc w:val="center"/>
              <w:rPr>
                <w:rFonts w:cstheme="minorHAnsi"/>
                <w:color w:val="264A60"/>
                <w:sz w:val="18"/>
                <w:szCs w:val="18"/>
              </w:rPr>
            </w:pPr>
            <w:r w:rsidRPr="00610FF2">
              <w:rPr>
                <w:rFonts w:cstheme="minorHAnsi"/>
                <w:color w:val="264A60"/>
                <w:sz w:val="18"/>
                <w:szCs w:val="18"/>
              </w:rPr>
              <w:t>Cumulative %</w:t>
            </w:r>
          </w:p>
        </w:tc>
      </w:tr>
      <w:tr w:rsidR="004C0D5F" w:rsidRPr="00610FF2" w:rsidTr="002D4924">
        <w:trPr>
          <w:cantSplit/>
          <w:jc w:val="center"/>
        </w:trPr>
        <w:tc>
          <w:tcPr>
            <w:tcW w:w="1291" w:type="dxa"/>
            <w:tcBorders>
              <w:top w:val="single" w:sz="8" w:space="0" w:color="152935"/>
              <w:left w:val="nil"/>
              <w:bottom w:val="single" w:sz="8" w:space="0" w:color="AEAEAE"/>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1</w:t>
            </w:r>
          </w:p>
        </w:tc>
        <w:tc>
          <w:tcPr>
            <w:tcW w:w="1028" w:type="dxa"/>
            <w:tcBorders>
              <w:top w:val="single" w:sz="8" w:space="0" w:color="152935"/>
              <w:left w:val="nil"/>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3.901</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65.013</w:t>
            </w:r>
          </w:p>
        </w:tc>
        <w:tc>
          <w:tcPr>
            <w:tcW w:w="1461" w:type="dxa"/>
            <w:tcBorders>
              <w:top w:val="single" w:sz="8" w:space="0" w:color="152935"/>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65.013</w:t>
            </w:r>
          </w:p>
        </w:tc>
        <w:tc>
          <w:tcPr>
            <w:tcW w:w="1169" w:type="dxa"/>
            <w:tcBorders>
              <w:top w:val="single" w:sz="8" w:space="0" w:color="152935"/>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3.901</w:t>
            </w:r>
          </w:p>
        </w:tc>
        <w:tc>
          <w:tcPr>
            <w:tcW w:w="1445" w:type="dxa"/>
            <w:tcBorders>
              <w:top w:val="single" w:sz="8" w:space="0" w:color="152935"/>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65.013</w:t>
            </w:r>
          </w:p>
        </w:tc>
        <w:tc>
          <w:tcPr>
            <w:tcW w:w="1461" w:type="dxa"/>
            <w:tcBorders>
              <w:top w:val="single" w:sz="8" w:space="0" w:color="152935"/>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sz w:val="18"/>
                <w:szCs w:val="18"/>
              </w:rPr>
            </w:pPr>
            <w:r w:rsidRPr="00610FF2">
              <w:rPr>
                <w:rFonts w:cstheme="minorHAnsi"/>
                <w:color w:val="010205"/>
                <w:sz w:val="18"/>
                <w:szCs w:val="18"/>
              </w:rPr>
              <w:t>65.013</w:t>
            </w:r>
          </w:p>
        </w:tc>
      </w:tr>
      <w:tr w:rsidR="004C0D5F" w:rsidRPr="00610FF2" w:rsidTr="002D4924">
        <w:trPr>
          <w:cantSplit/>
          <w:jc w:val="center"/>
        </w:trPr>
        <w:tc>
          <w:tcPr>
            <w:tcW w:w="1291" w:type="dxa"/>
            <w:tcBorders>
              <w:top w:val="single" w:sz="8" w:space="0" w:color="AEAEAE"/>
              <w:left w:val="nil"/>
              <w:bottom w:val="single" w:sz="8" w:space="0" w:color="AEAEAE"/>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2</w:t>
            </w:r>
          </w:p>
        </w:tc>
        <w:tc>
          <w:tcPr>
            <w:tcW w:w="1028" w:type="dxa"/>
            <w:tcBorders>
              <w:top w:val="single" w:sz="8" w:space="0" w:color="AEAEAE"/>
              <w:left w:val="nil"/>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.630</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10.505</w:t>
            </w:r>
          </w:p>
        </w:tc>
        <w:tc>
          <w:tcPr>
            <w:tcW w:w="1461" w:type="dxa"/>
            <w:tcBorders>
              <w:top w:val="single" w:sz="8" w:space="0" w:color="AEAEAE"/>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75.518</w:t>
            </w:r>
          </w:p>
        </w:tc>
        <w:tc>
          <w:tcPr>
            <w:tcW w:w="11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rPr>
            </w:pPr>
          </w:p>
        </w:tc>
        <w:tc>
          <w:tcPr>
            <w:tcW w:w="144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c>
          <w:tcPr>
            <w:tcW w:w="1461" w:type="dxa"/>
            <w:tcBorders>
              <w:top w:val="single" w:sz="8" w:space="0" w:color="AEAEAE"/>
              <w:left w:val="single" w:sz="8" w:space="0" w:color="E0E0E0"/>
              <w:bottom w:val="single" w:sz="8" w:space="0" w:color="AEAEAE"/>
              <w:right w:val="nil"/>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r>
      <w:tr w:rsidR="004C0D5F" w:rsidRPr="00610FF2" w:rsidTr="002D4924">
        <w:trPr>
          <w:cantSplit/>
          <w:jc w:val="center"/>
        </w:trPr>
        <w:tc>
          <w:tcPr>
            <w:tcW w:w="1291" w:type="dxa"/>
            <w:tcBorders>
              <w:top w:val="single" w:sz="8" w:space="0" w:color="AEAEAE"/>
              <w:left w:val="nil"/>
              <w:bottom w:val="single" w:sz="8" w:space="0" w:color="AEAEAE"/>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3</w:t>
            </w:r>
          </w:p>
        </w:tc>
        <w:tc>
          <w:tcPr>
            <w:tcW w:w="1028" w:type="dxa"/>
            <w:tcBorders>
              <w:top w:val="single" w:sz="8" w:space="0" w:color="AEAEAE"/>
              <w:left w:val="nil"/>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.577</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9.617</w:t>
            </w:r>
          </w:p>
        </w:tc>
        <w:tc>
          <w:tcPr>
            <w:tcW w:w="1461" w:type="dxa"/>
            <w:tcBorders>
              <w:top w:val="single" w:sz="8" w:space="0" w:color="AEAEAE"/>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85.135</w:t>
            </w:r>
          </w:p>
        </w:tc>
        <w:tc>
          <w:tcPr>
            <w:tcW w:w="11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rPr>
            </w:pPr>
          </w:p>
        </w:tc>
        <w:tc>
          <w:tcPr>
            <w:tcW w:w="144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c>
          <w:tcPr>
            <w:tcW w:w="1461" w:type="dxa"/>
            <w:tcBorders>
              <w:top w:val="single" w:sz="8" w:space="0" w:color="AEAEAE"/>
              <w:left w:val="single" w:sz="8" w:space="0" w:color="E0E0E0"/>
              <w:bottom w:val="single" w:sz="8" w:space="0" w:color="AEAEAE"/>
              <w:right w:val="nil"/>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r>
      <w:tr w:rsidR="004C0D5F" w:rsidRPr="00610FF2" w:rsidTr="002D4924">
        <w:trPr>
          <w:cantSplit/>
          <w:jc w:val="center"/>
        </w:trPr>
        <w:tc>
          <w:tcPr>
            <w:tcW w:w="1291" w:type="dxa"/>
            <w:tcBorders>
              <w:top w:val="single" w:sz="8" w:space="0" w:color="AEAEAE"/>
              <w:left w:val="nil"/>
              <w:bottom w:val="single" w:sz="8" w:space="0" w:color="AEAEAE"/>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4</w:t>
            </w:r>
          </w:p>
        </w:tc>
        <w:tc>
          <w:tcPr>
            <w:tcW w:w="1028" w:type="dxa"/>
            <w:tcBorders>
              <w:top w:val="single" w:sz="8" w:space="0" w:color="AEAEAE"/>
              <w:left w:val="nil"/>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.334</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5.564</w:t>
            </w:r>
          </w:p>
        </w:tc>
        <w:tc>
          <w:tcPr>
            <w:tcW w:w="1461" w:type="dxa"/>
            <w:tcBorders>
              <w:top w:val="single" w:sz="8" w:space="0" w:color="AEAEAE"/>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90.699</w:t>
            </w:r>
          </w:p>
        </w:tc>
        <w:tc>
          <w:tcPr>
            <w:tcW w:w="11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rPr>
            </w:pPr>
          </w:p>
        </w:tc>
        <w:tc>
          <w:tcPr>
            <w:tcW w:w="144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c>
          <w:tcPr>
            <w:tcW w:w="1461" w:type="dxa"/>
            <w:tcBorders>
              <w:top w:val="single" w:sz="8" w:space="0" w:color="AEAEAE"/>
              <w:left w:val="single" w:sz="8" w:space="0" w:color="E0E0E0"/>
              <w:bottom w:val="single" w:sz="8" w:space="0" w:color="AEAEAE"/>
              <w:right w:val="nil"/>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r>
      <w:tr w:rsidR="004C0D5F" w:rsidRPr="00610FF2" w:rsidTr="002D4924">
        <w:trPr>
          <w:cantSplit/>
          <w:jc w:val="center"/>
        </w:trPr>
        <w:tc>
          <w:tcPr>
            <w:tcW w:w="1291" w:type="dxa"/>
            <w:tcBorders>
              <w:top w:val="single" w:sz="8" w:space="0" w:color="AEAEAE"/>
              <w:left w:val="nil"/>
              <w:bottom w:val="single" w:sz="8" w:space="0" w:color="AEAEAE"/>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5</w:t>
            </w:r>
          </w:p>
        </w:tc>
        <w:tc>
          <w:tcPr>
            <w:tcW w:w="1028" w:type="dxa"/>
            <w:tcBorders>
              <w:top w:val="single" w:sz="8" w:space="0" w:color="AEAEAE"/>
              <w:left w:val="nil"/>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.323</w:t>
            </w:r>
          </w:p>
        </w:tc>
        <w:tc>
          <w:tcPr>
            <w:tcW w:w="1445" w:type="dxa"/>
            <w:tcBorders>
              <w:top w:val="single" w:sz="8" w:space="0" w:color="AEAEAE"/>
              <w:left w:val="single" w:sz="8" w:space="0" w:color="E0E0E0"/>
              <w:bottom w:val="single" w:sz="8" w:space="0" w:color="AEAEAE"/>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5.385</w:t>
            </w:r>
          </w:p>
        </w:tc>
        <w:tc>
          <w:tcPr>
            <w:tcW w:w="1461" w:type="dxa"/>
            <w:tcBorders>
              <w:top w:val="single" w:sz="8" w:space="0" w:color="AEAEAE"/>
              <w:left w:val="single" w:sz="8" w:space="0" w:color="E0E0E0"/>
              <w:bottom w:val="single" w:sz="8" w:space="0" w:color="AEAEAE"/>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96.084</w:t>
            </w:r>
          </w:p>
        </w:tc>
        <w:tc>
          <w:tcPr>
            <w:tcW w:w="11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rPr>
            </w:pPr>
          </w:p>
        </w:tc>
        <w:tc>
          <w:tcPr>
            <w:tcW w:w="144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c>
          <w:tcPr>
            <w:tcW w:w="1461" w:type="dxa"/>
            <w:tcBorders>
              <w:top w:val="single" w:sz="8" w:space="0" w:color="AEAEAE"/>
              <w:left w:val="single" w:sz="8" w:space="0" w:color="E0E0E0"/>
              <w:bottom w:val="single" w:sz="8" w:space="0" w:color="AEAEAE"/>
              <w:right w:val="nil"/>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r>
      <w:tr w:rsidR="004C0D5F" w:rsidRPr="00610FF2" w:rsidTr="002D4924">
        <w:trPr>
          <w:cantSplit/>
          <w:jc w:val="center"/>
        </w:trPr>
        <w:tc>
          <w:tcPr>
            <w:tcW w:w="1291" w:type="dxa"/>
            <w:tcBorders>
              <w:top w:val="single" w:sz="8" w:space="0" w:color="AEAEAE"/>
              <w:left w:val="nil"/>
              <w:bottom w:val="single" w:sz="8" w:space="0" w:color="152935"/>
              <w:right w:val="nil"/>
            </w:tcBorders>
            <w:shd w:val="clear" w:color="auto" w:fill="E0E0E0"/>
          </w:tcPr>
          <w:p w:rsidR="004C0D5F" w:rsidRPr="00610FF2" w:rsidRDefault="004C0D5F" w:rsidP="00610FF2">
            <w:pPr>
              <w:autoSpaceDE w:val="0"/>
              <w:autoSpaceDN w:val="0"/>
              <w:adjustRightInd w:val="0"/>
              <w:spacing w:after="0" w:line="240" w:lineRule="auto"/>
              <w:ind w:left="60" w:right="60"/>
              <w:rPr>
                <w:rFonts w:cstheme="minorHAnsi"/>
                <w:color w:val="264A60"/>
                <w:sz w:val="18"/>
                <w:szCs w:val="18"/>
              </w:rPr>
            </w:pPr>
            <w:r w:rsidRPr="00610FF2">
              <w:rPr>
                <w:rFonts w:cstheme="minorHAnsi"/>
                <w:color w:val="264A60"/>
                <w:sz w:val="18"/>
                <w:szCs w:val="18"/>
              </w:rPr>
              <w:t>6</w:t>
            </w:r>
          </w:p>
        </w:tc>
        <w:tc>
          <w:tcPr>
            <w:tcW w:w="1028" w:type="dxa"/>
            <w:tcBorders>
              <w:top w:val="single" w:sz="8" w:space="0" w:color="AEAEAE"/>
              <w:left w:val="nil"/>
              <w:bottom w:val="single" w:sz="8" w:space="0" w:color="152935"/>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.235</w:t>
            </w:r>
          </w:p>
        </w:tc>
        <w:tc>
          <w:tcPr>
            <w:tcW w:w="1445" w:type="dxa"/>
            <w:tcBorders>
              <w:top w:val="single" w:sz="8" w:space="0" w:color="AEAEAE"/>
              <w:left w:val="single" w:sz="8" w:space="0" w:color="E0E0E0"/>
              <w:bottom w:val="single" w:sz="8" w:space="0" w:color="152935"/>
              <w:right w:val="single" w:sz="8" w:space="0" w:color="E0E0E0"/>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3.916</w:t>
            </w:r>
          </w:p>
        </w:tc>
        <w:tc>
          <w:tcPr>
            <w:tcW w:w="1461" w:type="dxa"/>
            <w:tcBorders>
              <w:top w:val="single" w:sz="8" w:space="0" w:color="AEAEAE"/>
              <w:left w:val="single" w:sz="8" w:space="0" w:color="E0E0E0"/>
              <w:bottom w:val="single" w:sz="8" w:space="0" w:color="152935"/>
              <w:right w:val="nil"/>
            </w:tcBorders>
            <w:shd w:val="clear" w:color="auto" w:fill="FFFFFF"/>
          </w:tcPr>
          <w:p w:rsidR="004C0D5F" w:rsidRPr="00610FF2" w:rsidRDefault="004C0D5F" w:rsidP="00610FF2">
            <w:pPr>
              <w:autoSpaceDE w:val="0"/>
              <w:autoSpaceDN w:val="0"/>
              <w:adjustRightInd w:val="0"/>
              <w:spacing w:after="0" w:line="240" w:lineRule="auto"/>
              <w:ind w:left="60" w:right="60"/>
              <w:jc w:val="right"/>
              <w:rPr>
                <w:rFonts w:cstheme="minorHAnsi"/>
                <w:color w:val="010205"/>
              </w:rPr>
            </w:pPr>
            <w:r w:rsidRPr="00610FF2">
              <w:rPr>
                <w:rFonts w:cstheme="minorHAnsi"/>
                <w:color w:val="010205"/>
              </w:rPr>
              <w:t>100.000</w:t>
            </w:r>
          </w:p>
        </w:tc>
        <w:tc>
          <w:tcPr>
            <w:tcW w:w="116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rPr>
            </w:pPr>
          </w:p>
        </w:tc>
        <w:tc>
          <w:tcPr>
            <w:tcW w:w="144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c>
          <w:tcPr>
            <w:tcW w:w="1461" w:type="dxa"/>
            <w:tcBorders>
              <w:top w:val="single" w:sz="8" w:space="0" w:color="AEAEAE"/>
              <w:left w:val="single" w:sz="8" w:space="0" w:color="E0E0E0"/>
              <w:bottom w:val="single" w:sz="8" w:space="0" w:color="152935"/>
              <w:right w:val="nil"/>
            </w:tcBorders>
            <w:shd w:val="clear" w:color="auto" w:fill="FFFFFF"/>
            <w:vAlign w:val="center"/>
          </w:tcPr>
          <w:p w:rsidR="004C0D5F" w:rsidRPr="00610FF2" w:rsidRDefault="004C0D5F" w:rsidP="00610FF2">
            <w:pPr>
              <w:autoSpaceDE w:val="0"/>
              <w:autoSpaceDN w:val="0"/>
              <w:adjustRightInd w:val="0"/>
              <w:spacing w:after="0" w:line="240" w:lineRule="auto"/>
              <w:rPr>
                <w:rFonts w:cstheme="minorHAnsi"/>
                <w:sz w:val="24"/>
                <w:szCs w:val="24"/>
              </w:rPr>
            </w:pPr>
          </w:p>
        </w:tc>
      </w:tr>
      <w:tr w:rsidR="004C0D5F" w:rsidRPr="00610FF2" w:rsidTr="002D4924">
        <w:trPr>
          <w:cantSplit/>
          <w:jc w:val="center"/>
        </w:trPr>
        <w:tc>
          <w:tcPr>
            <w:tcW w:w="9300" w:type="dxa"/>
            <w:gridSpan w:val="7"/>
            <w:tcBorders>
              <w:top w:val="nil"/>
              <w:left w:val="nil"/>
              <w:bottom w:val="nil"/>
              <w:right w:val="nil"/>
            </w:tcBorders>
            <w:shd w:val="clear" w:color="auto" w:fill="FFFFFF"/>
          </w:tcPr>
          <w:p w:rsidR="00E86A33" w:rsidRPr="00610FF2" w:rsidRDefault="00E86A33" w:rsidP="00610FF2">
            <w:pPr>
              <w:autoSpaceDE w:val="0"/>
              <w:autoSpaceDN w:val="0"/>
              <w:adjustRightInd w:val="0"/>
              <w:spacing w:after="0" w:line="240" w:lineRule="auto"/>
              <w:ind w:left="60" w:right="60"/>
              <w:rPr>
                <w:rFonts w:cstheme="minorHAnsi"/>
                <w:color w:val="010205"/>
              </w:rPr>
            </w:pPr>
            <w:r w:rsidRPr="00610FF2">
              <w:rPr>
                <w:rFonts w:cstheme="minorHAnsi"/>
                <w:color w:val="010205"/>
              </w:rPr>
              <w:t xml:space="preserve">Note: </w:t>
            </w:r>
            <w:r w:rsidR="004C0D5F" w:rsidRPr="00610FF2">
              <w:rPr>
                <w:rFonts w:cstheme="minorHAnsi"/>
                <w:color w:val="010205"/>
              </w:rPr>
              <w:t>Extraction Method: Principal Component Analysis</w:t>
            </w:r>
          </w:p>
          <w:p w:rsidR="00E86A33" w:rsidRPr="00610FF2" w:rsidRDefault="00E86A33" w:rsidP="00610FF2">
            <w:pPr>
              <w:autoSpaceDE w:val="0"/>
              <w:autoSpaceDN w:val="0"/>
              <w:adjustRightInd w:val="0"/>
              <w:spacing w:after="0" w:line="240" w:lineRule="auto"/>
              <w:ind w:left="60" w:right="60"/>
              <w:rPr>
                <w:rFonts w:cstheme="minorHAnsi"/>
              </w:rPr>
            </w:pPr>
            <w:r w:rsidRPr="00610FF2">
              <w:rPr>
                <w:rFonts w:cstheme="minorHAnsi"/>
              </w:rPr>
              <w:t>Kaiser-Meyer-</w:t>
            </w:r>
            <w:proofErr w:type="spellStart"/>
            <w:r w:rsidRPr="00610FF2">
              <w:rPr>
                <w:rFonts w:cstheme="minorHAnsi"/>
              </w:rPr>
              <w:t>Olkin</w:t>
            </w:r>
            <w:proofErr w:type="spellEnd"/>
            <w:r w:rsidRPr="00610FF2">
              <w:rPr>
                <w:rFonts w:cstheme="minorHAnsi"/>
              </w:rPr>
              <w:t xml:space="preserve"> Measure of Sampling Adequacy= 0.861</w:t>
            </w:r>
          </w:p>
          <w:p w:rsidR="004C0D5F" w:rsidRPr="00610FF2" w:rsidRDefault="00E86A33" w:rsidP="00610FF2">
            <w:pPr>
              <w:autoSpaceDE w:val="0"/>
              <w:autoSpaceDN w:val="0"/>
              <w:adjustRightInd w:val="0"/>
              <w:spacing w:after="0" w:line="240" w:lineRule="auto"/>
              <w:ind w:left="60" w:right="60"/>
              <w:rPr>
                <w:rFonts w:cstheme="minorHAnsi"/>
                <w:color w:val="010205"/>
              </w:rPr>
            </w:pPr>
            <w:r w:rsidRPr="00610FF2">
              <w:rPr>
                <w:rFonts w:cstheme="minorHAnsi"/>
              </w:rPr>
              <w:t xml:space="preserve">Bartlett’s Test of </w:t>
            </w:r>
            <w:proofErr w:type="spellStart"/>
            <w:r w:rsidRPr="00610FF2">
              <w:rPr>
                <w:rFonts w:cstheme="minorHAnsi"/>
              </w:rPr>
              <w:t>Sphericity</w:t>
            </w:r>
            <w:proofErr w:type="spellEnd"/>
            <w:r w:rsidRPr="00610FF2">
              <w:rPr>
                <w:rFonts w:cstheme="minorHAnsi"/>
              </w:rPr>
              <w:t>= 259.945; p˂ 0.0000</w:t>
            </w:r>
            <w:r w:rsidR="004C0D5F" w:rsidRPr="00610FF2">
              <w:rPr>
                <w:rFonts w:cstheme="minorHAnsi"/>
              </w:rPr>
              <w:t>.</w:t>
            </w:r>
          </w:p>
        </w:tc>
      </w:tr>
    </w:tbl>
    <w:p w:rsidR="004C0D5F" w:rsidRPr="00C11318" w:rsidRDefault="004C0D5F" w:rsidP="00610FF2">
      <w:pPr>
        <w:autoSpaceDE w:val="0"/>
        <w:autoSpaceDN w:val="0"/>
        <w:adjustRightInd w:val="0"/>
        <w:spacing w:after="0" w:line="240" w:lineRule="auto"/>
        <w:rPr>
          <w:rFonts w:cstheme="minorHAnsi"/>
          <w:sz w:val="6"/>
          <w:szCs w:val="24"/>
        </w:rPr>
      </w:pPr>
    </w:p>
    <w:p w:rsidR="00EA0C29" w:rsidRPr="00E943A6" w:rsidRDefault="001E4B04" w:rsidP="001E4B04">
      <w:pPr>
        <w:autoSpaceDE w:val="0"/>
        <w:autoSpaceDN w:val="0"/>
        <w:adjustRightInd w:val="0"/>
        <w:spacing w:after="0" w:line="240" w:lineRule="auto"/>
        <w:jc w:val="center"/>
        <w:rPr>
          <w:rFonts w:cstheme="minorHAnsi"/>
          <w:b/>
          <w:bCs/>
          <w:color w:val="010205"/>
        </w:rPr>
      </w:pPr>
      <w:r w:rsidRPr="00E943A6">
        <w:rPr>
          <w:rFonts w:cstheme="minorHAnsi"/>
          <w:b/>
          <w:bCs/>
          <w:color w:val="010205"/>
        </w:rPr>
        <w:t>Table 6: Factor analysis of Critical Enablers</w:t>
      </w:r>
    </w:p>
    <w:p w:rsidR="001E4B04" w:rsidRPr="00C11318" w:rsidRDefault="001E4B04" w:rsidP="001E4B04">
      <w:pPr>
        <w:autoSpaceDE w:val="0"/>
        <w:autoSpaceDN w:val="0"/>
        <w:adjustRightInd w:val="0"/>
        <w:spacing w:after="0" w:line="240" w:lineRule="auto"/>
        <w:jc w:val="center"/>
        <w:rPr>
          <w:rFonts w:cstheme="minorHAnsi"/>
          <w:sz w:val="10"/>
          <w:szCs w:val="24"/>
        </w:rPr>
      </w:pPr>
    </w:p>
    <w:p w:rsidR="00D03781" w:rsidRDefault="00E33B48" w:rsidP="00610FF2">
      <w:pPr>
        <w:autoSpaceDE w:val="0"/>
        <w:autoSpaceDN w:val="0"/>
        <w:adjustRightInd w:val="0"/>
        <w:spacing w:after="0" w:line="240" w:lineRule="auto"/>
        <w:jc w:val="both"/>
        <w:rPr>
          <w:rFonts w:cstheme="minorHAnsi"/>
        </w:rPr>
      </w:pPr>
      <w:r w:rsidRPr="00610FF2">
        <w:rPr>
          <w:rFonts w:cstheme="minorHAnsi"/>
        </w:rPr>
        <w:t xml:space="preserve">Factor analysis </w:t>
      </w:r>
      <w:r w:rsidR="005D1748" w:rsidRPr="00610FF2">
        <w:rPr>
          <w:rFonts w:cstheme="minorHAnsi"/>
        </w:rPr>
        <w:t>was conducted to further</w:t>
      </w:r>
      <w:r w:rsidRPr="00610FF2">
        <w:rPr>
          <w:rFonts w:cstheme="minorHAnsi"/>
        </w:rPr>
        <w:t xml:space="preserve"> </w:t>
      </w:r>
      <w:r w:rsidR="00CC5974" w:rsidRPr="00610FF2">
        <w:rPr>
          <w:rFonts w:cstheme="minorHAnsi"/>
        </w:rPr>
        <w:t>confirm the groupings of the critical enablers from the survey data. The critical enablers comprises six measurement items. The Kaiser-Meyer-</w:t>
      </w:r>
      <w:proofErr w:type="spellStart"/>
      <w:r w:rsidR="00CC5974" w:rsidRPr="00610FF2">
        <w:rPr>
          <w:rFonts w:cstheme="minorHAnsi"/>
        </w:rPr>
        <w:t>Olkin</w:t>
      </w:r>
      <w:proofErr w:type="spellEnd"/>
      <w:r w:rsidR="00CC5974" w:rsidRPr="00610FF2">
        <w:rPr>
          <w:rFonts w:cstheme="minorHAnsi"/>
        </w:rPr>
        <w:t xml:space="preserve"> (KMO) measure confirmed the sampling adequacy required for principal component analysis (CPA)</w:t>
      </w:r>
      <w:r w:rsidR="00901CE7" w:rsidRPr="00610FF2">
        <w:rPr>
          <w:rFonts w:cstheme="minorHAnsi"/>
        </w:rPr>
        <w:t xml:space="preserve">. KMO is used to test the appropriateness of data for factor analysis (Field, 2009; </w:t>
      </w:r>
      <w:proofErr w:type="spellStart"/>
      <w:r w:rsidR="00901CE7" w:rsidRPr="00610FF2">
        <w:rPr>
          <w:rFonts w:cstheme="minorHAnsi"/>
        </w:rPr>
        <w:t>Esfahbodi</w:t>
      </w:r>
      <w:proofErr w:type="spellEnd"/>
      <w:r w:rsidR="00901CE7" w:rsidRPr="00610FF2">
        <w:rPr>
          <w:rFonts w:cstheme="minorHAnsi"/>
        </w:rPr>
        <w:t xml:space="preserve">, 2016). Table </w:t>
      </w:r>
      <w:r w:rsidR="001E4B04">
        <w:rPr>
          <w:rFonts w:cstheme="minorHAnsi"/>
        </w:rPr>
        <w:t>6</w:t>
      </w:r>
      <w:r w:rsidR="00901CE7" w:rsidRPr="00610FF2">
        <w:rPr>
          <w:rFonts w:cstheme="minorHAnsi"/>
        </w:rPr>
        <w:t xml:space="preserve"> above shows KMO value as = 0.861 exceeding the recommended </w:t>
      </w:r>
      <w:r w:rsidR="00FA7D3A" w:rsidRPr="00610FF2">
        <w:rPr>
          <w:rFonts w:cstheme="minorHAnsi"/>
        </w:rPr>
        <w:t>minimum value of 0.60 required for conducting factor analysis</w:t>
      </w:r>
      <w:r w:rsidR="00C00619" w:rsidRPr="00610FF2">
        <w:rPr>
          <w:rFonts w:cstheme="minorHAnsi"/>
        </w:rPr>
        <w:t xml:space="preserve"> (Field, 2009). In addition, the sig. is .000, which indicates that the strength of the relationship between variables is strong and therefore the variables are suitable for factor analysis. </w:t>
      </w:r>
      <w:r w:rsidR="00CA1516" w:rsidRPr="00610FF2">
        <w:rPr>
          <w:rFonts w:cstheme="minorHAnsi"/>
        </w:rPr>
        <w:t>Furthermore,</w:t>
      </w:r>
      <w:r w:rsidR="00C00619" w:rsidRPr="00610FF2">
        <w:rPr>
          <w:rFonts w:cstheme="minorHAnsi"/>
        </w:rPr>
        <w:t xml:space="preserve"> the eige</w:t>
      </w:r>
      <w:r w:rsidR="00155DFE" w:rsidRPr="00610FF2">
        <w:rPr>
          <w:rFonts w:cstheme="minorHAnsi"/>
        </w:rPr>
        <w:t xml:space="preserve">nvalue for the critical </w:t>
      </w:r>
      <w:proofErr w:type="gramStart"/>
      <w:r w:rsidR="00155DFE" w:rsidRPr="00610FF2">
        <w:rPr>
          <w:rFonts w:cstheme="minorHAnsi"/>
        </w:rPr>
        <w:t>enabler</w:t>
      </w:r>
      <w:r w:rsidR="00C00619" w:rsidRPr="00610FF2">
        <w:rPr>
          <w:rFonts w:cstheme="minorHAnsi"/>
        </w:rPr>
        <w:t>s</w:t>
      </w:r>
      <w:proofErr w:type="gramEnd"/>
      <w:r w:rsidR="00C00619" w:rsidRPr="00610FF2">
        <w:rPr>
          <w:rFonts w:cstheme="minorHAnsi"/>
        </w:rPr>
        <w:t xml:space="preserve"> measure was </w:t>
      </w:r>
      <w:r w:rsidR="00CA1516" w:rsidRPr="00610FF2">
        <w:rPr>
          <w:rFonts w:cstheme="minorHAnsi"/>
        </w:rPr>
        <w:t>3.901 exceeding the recommended value of 1.</w:t>
      </w:r>
    </w:p>
    <w:p w:rsidR="002D4924" w:rsidRPr="00C11318" w:rsidRDefault="002D4924" w:rsidP="002D4924">
      <w:pPr>
        <w:autoSpaceDE w:val="0"/>
        <w:autoSpaceDN w:val="0"/>
        <w:adjustRightInd w:val="0"/>
        <w:spacing w:after="0" w:line="240" w:lineRule="auto"/>
        <w:ind w:right="60"/>
        <w:jc w:val="both"/>
        <w:rPr>
          <w:rFonts w:cstheme="minorHAnsi"/>
          <w:b/>
          <w:bCs/>
          <w:color w:val="010205"/>
          <w:sz w:val="10"/>
        </w:rPr>
      </w:pPr>
    </w:p>
    <w:p w:rsidR="002D4924" w:rsidRDefault="002D4924" w:rsidP="002D4924">
      <w:pPr>
        <w:autoSpaceDE w:val="0"/>
        <w:autoSpaceDN w:val="0"/>
        <w:adjustRightInd w:val="0"/>
        <w:spacing w:after="0" w:line="240" w:lineRule="auto"/>
        <w:ind w:right="60"/>
        <w:jc w:val="both"/>
        <w:rPr>
          <w:rFonts w:cstheme="minorHAnsi"/>
          <w:b/>
          <w:bCs/>
          <w:color w:val="010205"/>
        </w:rPr>
      </w:pPr>
      <w:r w:rsidRPr="00610FF2">
        <w:rPr>
          <w:rFonts w:cstheme="minorHAnsi"/>
          <w:b/>
          <w:bCs/>
          <w:color w:val="010205"/>
        </w:rPr>
        <w:t xml:space="preserve">5.2 Correlation </w:t>
      </w:r>
    </w:p>
    <w:p w:rsidR="002D4924" w:rsidRPr="00610FF2" w:rsidRDefault="002D4924" w:rsidP="002D4924">
      <w:pPr>
        <w:autoSpaceDE w:val="0"/>
        <w:autoSpaceDN w:val="0"/>
        <w:adjustRightInd w:val="0"/>
        <w:spacing w:after="0" w:line="240" w:lineRule="auto"/>
        <w:jc w:val="both"/>
        <w:rPr>
          <w:rFonts w:cstheme="minorHAnsi"/>
          <w:bCs/>
          <w:color w:val="010205"/>
        </w:rPr>
      </w:pPr>
      <w:r w:rsidRPr="00610FF2">
        <w:rPr>
          <w:rFonts w:cstheme="minorHAnsi"/>
          <w:bCs/>
          <w:color w:val="010205"/>
        </w:rPr>
        <w:t>Correlation values indicate the strength of the association between any two metric variables with the sign (+ or -) indicating the nature  of the relationship (Hair et al 2014) the values range from -1 to +1 with +1 indicating a perfect relationship, 0 indicating no relationship and -1 indicating a perfect negative relationship. The bivariate results using Pearson correlation coefficient is shown</w:t>
      </w:r>
      <w:r>
        <w:rPr>
          <w:rFonts w:cstheme="minorHAnsi"/>
          <w:bCs/>
          <w:color w:val="010205"/>
        </w:rPr>
        <w:t xml:space="preserve"> in table 7</w:t>
      </w:r>
      <w:r w:rsidRPr="00610FF2">
        <w:rPr>
          <w:rFonts w:cstheme="minorHAnsi"/>
          <w:bCs/>
          <w:color w:val="010205"/>
        </w:rPr>
        <w:t>.  The results below show significant relationship between critical enablers and GSCM (eco design, green manufacturing, green purchasing and reverse logistics) implementation. The correlation between critical enablers and GSCM implementation is shown in the table below showing the direction and nature of relationship. For GSCM to be implemented the tables below have shown that critical enablers measure by management commitment, supplier support, customers support, ISO certification, information sharing and government regulations when properly addressed could enhance and serve as power and energizer for  successful  implementation of GSCM</w:t>
      </w:r>
      <w:r w:rsidR="00825B57">
        <w:rPr>
          <w:rFonts w:cstheme="minorHAnsi"/>
          <w:bCs/>
          <w:color w:val="010205"/>
        </w:rPr>
        <w:t>.</w:t>
      </w:r>
      <w:r w:rsidRPr="00610FF2">
        <w:rPr>
          <w:rFonts w:cstheme="minorHAnsi"/>
          <w:bCs/>
          <w:color w:val="010205"/>
        </w:rPr>
        <w:t xml:space="preserve"> </w:t>
      </w:r>
    </w:p>
    <w:p w:rsidR="002D4924" w:rsidRPr="00C11318" w:rsidRDefault="002D4924" w:rsidP="00610FF2">
      <w:pPr>
        <w:autoSpaceDE w:val="0"/>
        <w:autoSpaceDN w:val="0"/>
        <w:adjustRightInd w:val="0"/>
        <w:spacing w:after="0" w:line="240" w:lineRule="auto"/>
        <w:jc w:val="both"/>
        <w:rPr>
          <w:rFonts w:cstheme="minorHAnsi"/>
          <w:sz w:val="10"/>
        </w:rPr>
      </w:pPr>
    </w:p>
    <w:tbl>
      <w:tblPr>
        <w:tblW w:w="8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7"/>
      </w:tblGrid>
      <w:tr w:rsidR="003C7D0F" w:rsidRPr="00610FF2" w:rsidTr="00273E5B">
        <w:trPr>
          <w:cantSplit/>
        </w:trPr>
        <w:tc>
          <w:tcPr>
            <w:tcW w:w="8577" w:type="dxa"/>
            <w:tcBorders>
              <w:top w:val="nil"/>
              <w:left w:val="nil"/>
              <w:bottom w:val="nil"/>
              <w:right w:val="nil"/>
            </w:tcBorders>
            <w:shd w:val="clear" w:color="auto" w:fill="FFFFFF"/>
            <w:vAlign w:val="center"/>
          </w:tcPr>
          <w:tbl>
            <w:tblPr>
              <w:tblStyle w:val="TableGrid"/>
              <w:tblW w:w="8567" w:type="dxa"/>
              <w:jc w:val="center"/>
              <w:tblLayout w:type="fixed"/>
              <w:tblLook w:val="04A0" w:firstRow="1" w:lastRow="0" w:firstColumn="1" w:lastColumn="0" w:noHBand="0" w:noVBand="1"/>
            </w:tblPr>
            <w:tblGrid>
              <w:gridCol w:w="2855"/>
              <w:gridCol w:w="2856"/>
              <w:gridCol w:w="2856"/>
            </w:tblGrid>
            <w:tr w:rsidR="001732F0" w:rsidRPr="00610FF2" w:rsidTr="0078604A">
              <w:trPr>
                <w:jc w:val="center"/>
              </w:trPr>
              <w:tc>
                <w:tcPr>
                  <w:tcW w:w="2855" w:type="dxa"/>
                </w:tcPr>
                <w:p w:rsidR="001732F0" w:rsidRPr="00610FF2" w:rsidRDefault="001732F0" w:rsidP="00610FF2">
                  <w:pPr>
                    <w:autoSpaceDE w:val="0"/>
                    <w:autoSpaceDN w:val="0"/>
                    <w:adjustRightInd w:val="0"/>
                    <w:spacing w:after="0" w:line="240" w:lineRule="auto"/>
                    <w:ind w:right="60"/>
                    <w:rPr>
                      <w:rFonts w:cstheme="minorHAnsi"/>
                      <w:b/>
                      <w:bCs/>
                      <w:color w:val="010205"/>
                    </w:rPr>
                  </w:pPr>
                  <w:r w:rsidRPr="00610FF2">
                    <w:rPr>
                      <w:rFonts w:cstheme="minorHAnsi"/>
                      <w:b/>
                      <w:bCs/>
                      <w:color w:val="010205"/>
                    </w:rPr>
                    <w:t>GSCM Practices</w:t>
                  </w:r>
                </w:p>
              </w:tc>
              <w:tc>
                <w:tcPr>
                  <w:tcW w:w="2856" w:type="dxa"/>
                </w:tcPr>
                <w:p w:rsidR="001732F0" w:rsidRPr="00610FF2" w:rsidRDefault="001732F0" w:rsidP="00610FF2">
                  <w:pPr>
                    <w:autoSpaceDE w:val="0"/>
                    <w:autoSpaceDN w:val="0"/>
                    <w:adjustRightInd w:val="0"/>
                    <w:spacing w:after="0" w:line="240" w:lineRule="auto"/>
                    <w:ind w:right="60"/>
                    <w:rPr>
                      <w:rFonts w:cstheme="minorHAnsi"/>
                      <w:b/>
                      <w:bCs/>
                      <w:color w:val="010205"/>
                    </w:rPr>
                  </w:pPr>
                  <w:r w:rsidRPr="00610FF2">
                    <w:rPr>
                      <w:rFonts w:cstheme="minorHAnsi"/>
                      <w:b/>
                      <w:bCs/>
                      <w:color w:val="010205"/>
                    </w:rPr>
                    <w:t>Correlation coefficient</w:t>
                  </w:r>
                </w:p>
              </w:tc>
              <w:tc>
                <w:tcPr>
                  <w:tcW w:w="2856" w:type="dxa"/>
                  <w:tcBorders>
                    <w:right w:val="single" w:sz="4" w:space="0" w:color="auto"/>
                  </w:tcBorders>
                </w:tcPr>
                <w:p w:rsidR="001732F0" w:rsidRPr="00610FF2" w:rsidRDefault="001732F0" w:rsidP="00610FF2">
                  <w:pPr>
                    <w:autoSpaceDE w:val="0"/>
                    <w:autoSpaceDN w:val="0"/>
                    <w:adjustRightInd w:val="0"/>
                    <w:spacing w:after="0" w:line="240" w:lineRule="auto"/>
                    <w:ind w:right="60"/>
                    <w:rPr>
                      <w:rFonts w:cstheme="minorHAnsi"/>
                      <w:b/>
                      <w:bCs/>
                      <w:color w:val="010205"/>
                    </w:rPr>
                  </w:pPr>
                  <w:r w:rsidRPr="00610FF2">
                    <w:rPr>
                      <w:rFonts w:cstheme="minorHAnsi"/>
                      <w:b/>
                      <w:bCs/>
                      <w:color w:val="010205"/>
                    </w:rPr>
                    <w:t>Sig.(2-tailed) P- values</w:t>
                  </w:r>
                </w:p>
              </w:tc>
            </w:tr>
            <w:tr w:rsidR="001732F0" w:rsidRPr="00610FF2" w:rsidTr="0078604A">
              <w:trPr>
                <w:jc w:val="center"/>
              </w:trPr>
              <w:tc>
                <w:tcPr>
                  <w:tcW w:w="2855" w:type="dxa"/>
                </w:tcPr>
                <w:p w:rsidR="001732F0" w:rsidRPr="00610FF2" w:rsidRDefault="001732F0"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Eco design</w:t>
                  </w:r>
                </w:p>
              </w:tc>
              <w:tc>
                <w:tcPr>
                  <w:tcW w:w="2856" w:type="dxa"/>
                </w:tcPr>
                <w:p w:rsidR="001732F0" w:rsidRPr="00610FF2" w:rsidRDefault="001732F0"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.671</w:t>
                  </w:r>
                  <w:r w:rsidR="00A615E5" w:rsidRPr="00610FF2">
                    <w:rPr>
                      <w:rFonts w:ascii="Arial" w:hAnsi="Arial" w:cs="Arial"/>
                      <w:bCs/>
                      <w:color w:val="010205"/>
                    </w:rPr>
                    <w:t>⃰⃰⃰⃰⃰⃰</w:t>
                  </w:r>
                  <w:r w:rsidR="00A615E5" w:rsidRPr="00610FF2">
                    <w:rPr>
                      <w:rFonts w:cstheme="minorHAnsi"/>
                      <w:bCs/>
                      <w:color w:val="010205"/>
                    </w:rPr>
                    <w:t xml:space="preserve"> </w:t>
                  </w:r>
                  <w:r w:rsidR="00A615E5" w:rsidRPr="00610FF2">
                    <w:rPr>
                      <w:rFonts w:ascii="Arial" w:hAnsi="Arial" w:cs="Arial"/>
                      <w:bCs/>
                      <w:color w:val="010205"/>
                    </w:rPr>
                    <w:t>⃰</w:t>
                  </w:r>
                </w:p>
              </w:tc>
              <w:tc>
                <w:tcPr>
                  <w:tcW w:w="2856" w:type="dxa"/>
                  <w:tcBorders>
                    <w:right w:val="single" w:sz="4" w:space="0" w:color="auto"/>
                  </w:tcBorders>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.000</w:t>
                  </w:r>
                </w:p>
              </w:tc>
            </w:tr>
            <w:tr w:rsidR="001732F0" w:rsidRPr="00610FF2" w:rsidTr="0078604A">
              <w:trPr>
                <w:jc w:val="center"/>
              </w:trPr>
              <w:tc>
                <w:tcPr>
                  <w:tcW w:w="2855" w:type="dxa"/>
                </w:tcPr>
                <w:p w:rsidR="001732F0" w:rsidRPr="00610FF2" w:rsidRDefault="001732F0"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Green production</w:t>
                  </w:r>
                </w:p>
              </w:tc>
              <w:tc>
                <w:tcPr>
                  <w:tcW w:w="2856" w:type="dxa"/>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.559</w:t>
                  </w:r>
                  <w:r w:rsidRPr="00610FF2">
                    <w:rPr>
                      <w:rFonts w:ascii="Arial" w:hAnsi="Arial" w:cs="Arial"/>
                      <w:bCs/>
                      <w:color w:val="010205"/>
                    </w:rPr>
                    <w:t>⃰</w:t>
                  </w:r>
                  <w:r w:rsidRPr="00610FF2">
                    <w:rPr>
                      <w:rFonts w:cstheme="minorHAnsi"/>
                      <w:bCs/>
                      <w:color w:val="010205"/>
                    </w:rPr>
                    <w:t xml:space="preserve"> </w:t>
                  </w:r>
                  <w:r w:rsidRPr="00610FF2">
                    <w:rPr>
                      <w:rFonts w:ascii="Arial" w:hAnsi="Arial" w:cs="Arial"/>
                      <w:bCs/>
                      <w:color w:val="010205"/>
                    </w:rPr>
                    <w:t>⃰</w:t>
                  </w:r>
                </w:p>
              </w:tc>
              <w:tc>
                <w:tcPr>
                  <w:tcW w:w="2856" w:type="dxa"/>
                  <w:tcBorders>
                    <w:right w:val="single" w:sz="4" w:space="0" w:color="auto"/>
                  </w:tcBorders>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.000</w:t>
                  </w:r>
                </w:p>
              </w:tc>
            </w:tr>
            <w:tr w:rsidR="001732F0" w:rsidRPr="00610FF2" w:rsidTr="0078604A">
              <w:trPr>
                <w:jc w:val="center"/>
              </w:trPr>
              <w:tc>
                <w:tcPr>
                  <w:tcW w:w="2855" w:type="dxa"/>
                </w:tcPr>
                <w:p w:rsidR="001732F0" w:rsidRPr="00610FF2" w:rsidRDefault="001732F0"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Green purchasing</w:t>
                  </w:r>
                </w:p>
              </w:tc>
              <w:tc>
                <w:tcPr>
                  <w:tcW w:w="2856" w:type="dxa"/>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.743</w:t>
                  </w:r>
                  <w:r w:rsidRPr="00610FF2">
                    <w:rPr>
                      <w:rFonts w:ascii="Arial" w:hAnsi="Arial" w:cs="Arial"/>
                      <w:bCs/>
                      <w:color w:val="010205"/>
                    </w:rPr>
                    <w:t>⃰</w:t>
                  </w:r>
                  <w:r w:rsidRPr="00610FF2">
                    <w:rPr>
                      <w:rFonts w:cstheme="minorHAnsi"/>
                      <w:bCs/>
                      <w:color w:val="010205"/>
                    </w:rPr>
                    <w:t xml:space="preserve"> </w:t>
                  </w:r>
                  <w:r w:rsidRPr="00610FF2">
                    <w:rPr>
                      <w:rFonts w:ascii="Arial" w:hAnsi="Arial" w:cs="Arial"/>
                      <w:bCs/>
                      <w:color w:val="010205"/>
                    </w:rPr>
                    <w:t>⃰</w:t>
                  </w:r>
                </w:p>
              </w:tc>
              <w:tc>
                <w:tcPr>
                  <w:tcW w:w="2856" w:type="dxa"/>
                  <w:tcBorders>
                    <w:right w:val="single" w:sz="4" w:space="0" w:color="auto"/>
                  </w:tcBorders>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.000</w:t>
                  </w:r>
                </w:p>
              </w:tc>
            </w:tr>
            <w:tr w:rsidR="001732F0" w:rsidRPr="00610FF2" w:rsidTr="0078604A">
              <w:trPr>
                <w:jc w:val="center"/>
              </w:trPr>
              <w:tc>
                <w:tcPr>
                  <w:tcW w:w="2855" w:type="dxa"/>
                </w:tcPr>
                <w:p w:rsidR="001732F0" w:rsidRPr="00610FF2" w:rsidRDefault="001732F0"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Reverse logistics</w:t>
                  </w:r>
                </w:p>
              </w:tc>
              <w:tc>
                <w:tcPr>
                  <w:tcW w:w="2856" w:type="dxa"/>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.617</w:t>
                  </w:r>
                  <w:r w:rsidRPr="00610FF2">
                    <w:rPr>
                      <w:rFonts w:ascii="Arial" w:hAnsi="Arial" w:cs="Arial"/>
                      <w:bCs/>
                      <w:color w:val="010205"/>
                    </w:rPr>
                    <w:t>⃰</w:t>
                  </w:r>
                  <w:r w:rsidRPr="00610FF2">
                    <w:rPr>
                      <w:rFonts w:cstheme="minorHAnsi"/>
                      <w:bCs/>
                      <w:color w:val="010205"/>
                    </w:rPr>
                    <w:t xml:space="preserve"> </w:t>
                  </w:r>
                  <w:r w:rsidRPr="00610FF2">
                    <w:rPr>
                      <w:rFonts w:ascii="Arial" w:hAnsi="Arial" w:cs="Arial"/>
                      <w:bCs/>
                      <w:color w:val="010205"/>
                    </w:rPr>
                    <w:t>⃰</w:t>
                  </w:r>
                </w:p>
              </w:tc>
              <w:tc>
                <w:tcPr>
                  <w:tcW w:w="2856" w:type="dxa"/>
                  <w:tcBorders>
                    <w:right w:val="single" w:sz="4" w:space="0" w:color="auto"/>
                  </w:tcBorders>
                </w:tcPr>
                <w:p w:rsidR="001732F0" w:rsidRPr="00610FF2" w:rsidRDefault="00A615E5" w:rsidP="00610FF2">
                  <w:pPr>
                    <w:autoSpaceDE w:val="0"/>
                    <w:autoSpaceDN w:val="0"/>
                    <w:adjustRightInd w:val="0"/>
                    <w:spacing w:after="0" w:line="240" w:lineRule="auto"/>
                    <w:ind w:right="60"/>
                    <w:rPr>
                      <w:rFonts w:cstheme="minorHAnsi"/>
                      <w:bCs/>
                      <w:color w:val="010205"/>
                    </w:rPr>
                  </w:pPr>
                  <w:r w:rsidRPr="00610FF2">
                    <w:rPr>
                      <w:rFonts w:cstheme="minorHAnsi"/>
                      <w:bCs/>
                      <w:color w:val="010205"/>
                    </w:rPr>
                    <w:t>.000</w:t>
                  </w:r>
                </w:p>
              </w:tc>
            </w:tr>
          </w:tbl>
          <w:p w:rsidR="00A4782E" w:rsidRPr="00610FF2" w:rsidRDefault="00273E5B" w:rsidP="00610FF2">
            <w:pPr>
              <w:autoSpaceDE w:val="0"/>
              <w:autoSpaceDN w:val="0"/>
              <w:adjustRightInd w:val="0"/>
              <w:spacing w:after="0" w:line="240" w:lineRule="auto"/>
              <w:ind w:right="60"/>
              <w:rPr>
                <w:rFonts w:cstheme="minorHAnsi"/>
                <w:b/>
                <w:bCs/>
                <w:color w:val="010205"/>
              </w:rPr>
            </w:pPr>
            <w:r w:rsidRPr="00610FF2">
              <w:rPr>
                <w:rFonts w:cstheme="minorHAnsi"/>
                <w:color w:val="010205"/>
                <w:sz w:val="18"/>
                <w:szCs w:val="18"/>
              </w:rPr>
              <w:t>**. Correlation is significant at the 0.01 level (2-tailed).</w:t>
            </w:r>
          </w:p>
        </w:tc>
      </w:tr>
    </w:tbl>
    <w:p w:rsidR="001E4B04" w:rsidRPr="00C11318" w:rsidRDefault="001E4B04" w:rsidP="00825B57">
      <w:pPr>
        <w:autoSpaceDE w:val="0"/>
        <w:autoSpaceDN w:val="0"/>
        <w:adjustRightInd w:val="0"/>
        <w:spacing w:after="0" w:line="240" w:lineRule="auto"/>
        <w:rPr>
          <w:rFonts w:cstheme="minorHAnsi"/>
          <w:b/>
          <w:bCs/>
          <w:color w:val="010205"/>
          <w:sz w:val="6"/>
        </w:rPr>
      </w:pPr>
    </w:p>
    <w:p w:rsidR="001E4B04" w:rsidRPr="00E943A6" w:rsidRDefault="001E4B04" w:rsidP="001E4B04">
      <w:pPr>
        <w:autoSpaceDE w:val="0"/>
        <w:autoSpaceDN w:val="0"/>
        <w:adjustRightInd w:val="0"/>
        <w:spacing w:after="0" w:line="240" w:lineRule="auto"/>
        <w:ind w:left="60" w:right="60"/>
        <w:jc w:val="center"/>
        <w:rPr>
          <w:rFonts w:cstheme="minorHAnsi"/>
          <w:b/>
          <w:bCs/>
          <w:color w:val="010205"/>
        </w:rPr>
      </w:pPr>
      <w:r w:rsidRPr="00E943A6">
        <w:rPr>
          <w:rFonts w:cstheme="minorHAnsi"/>
          <w:b/>
          <w:bCs/>
          <w:color w:val="010205"/>
        </w:rPr>
        <w:t>Table 7: Correlation coefficients of relationship between critical enablers and GSCM</w:t>
      </w:r>
    </w:p>
    <w:p w:rsidR="003C7D0F" w:rsidRPr="00C11318" w:rsidRDefault="003C7D0F" w:rsidP="00610FF2">
      <w:pPr>
        <w:autoSpaceDE w:val="0"/>
        <w:autoSpaceDN w:val="0"/>
        <w:adjustRightInd w:val="0"/>
        <w:spacing w:after="0" w:line="240" w:lineRule="auto"/>
        <w:rPr>
          <w:rFonts w:cstheme="minorHAnsi"/>
          <w:sz w:val="10"/>
        </w:rPr>
      </w:pPr>
    </w:p>
    <w:p w:rsidR="006065F5" w:rsidRDefault="00273E5B" w:rsidP="00610FF2">
      <w:pPr>
        <w:autoSpaceDE w:val="0"/>
        <w:autoSpaceDN w:val="0"/>
        <w:adjustRightInd w:val="0"/>
        <w:spacing w:after="0" w:line="240" w:lineRule="auto"/>
        <w:jc w:val="both"/>
        <w:rPr>
          <w:rFonts w:cstheme="minorHAnsi"/>
        </w:rPr>
      </w:pPr>
      <w:r w:rsidRPr="00825B57">
        <w:rPr>
          <w:rFonts w:cstheme="minorHAnsi"/>
        </w:rPr>
        <w:t xml:space="preserve">The result of table </w:t>
      </w:r>
      <w:r w:rsidR="002D4924" w:rsidRPr="00825B57">
        <w:rPr>
          <w:rFonts w:cstheme="minorHAnsi"/>
        </w:rPr>
        <w:t>7</w:t>
      </w:r>
      <w:r w:rsidRPr="00825B57">
        <w:rPr>
          <w:rFonts w:cstheme="minorHAnsi"/>
        </w:rPr>
        <w:t xml:space="preserve"> above shows that the relationship between critical enablers </w:t>
      </w:r>
      <w:r w:rsidR="005A013F" w:rsidRPr="00825B57">
        <w:rPr>
          <w:rFonts w:cstheme="minorHAnsi"/>
        </w:rPr>
        <w:t xml:space="preserve">and four </w:t>
      </w:r>
      <w:r w:rsidRPr="00825B57">
        <w:rPr>
          <w:rFonts w:cstheme="minorHAnsi"/>
        </w:rPr>
        <w:t>GSCM implementation</w:t>
      </w:r>
      <w:r w:rsidR="005A013F" w:rsidRPr="00825B57">
        <w:rPr>
          <w:rFonts w:cstheme="minorHAnsi"/>
        </w:rPr>
        <w:t xml:space="preserve"> is significant.</w:t>
      </w:r>
      <w:r w:rsidR="005D1748" w:rsidRPr="00825B57">
        <w:rPr>
          <w:rFonts w:cstheme="minorHAnsi"/>
        </w:rPr>
        <w:t xml:space="preserve"> From the table it can be seen that sig. (p values) for all the GSCM practices = 0.000. </w:t>
      </w:r>
      <w:r w:rsidR="005A013F" w:rsidRPr="00825B57">
        <w:rPr>
          <w:rFonts w:cstheme="minorHAnsi"/>
        </w:rPr>
        <w:t xml:space="preserve"> Since p˂ 0.05, it is concluded that critical enablers such as management commitment to sustainability, government regulations, ISO 14001 certification, information sharing, supplier support and customer pressure have a strong positive linear relationship with four GSCM implementation namely eco design, green production, green purchasing, and reverse logistics. </w:t>
      </w:r>
    </w:p>
    <w:p w:rsidR="00D51563" w:rsidRDefault="00273E5B" w:rsidP="00610FF2">
      <w:pPr>
        <w:autoSpaceDE w:val="0"/>
        <w:autoSpaceDN w:val="0"/>
        <w:adjustRightInd w:val="0"/>
        <w:spacing w:after="0" w:line="240" w:lineRule="auto"/>
        <w:jc w:val="both"/>
        <w:rPr>
          <w:rFonts w:cstheme="minorHAnsi"/>
        </w:rPr>
      </w:pPr>
      <w:bookmarkStart w:id="0" w:name="_GoBack"/>
      <w:bookmarkEnd w:id="0"/>
      <w:r w:rsidRPr="00825B57">
        <w:rPr>
          <w:rFonts w:cstheme="minorHAnsi"/>
        </w:rPr>
        <w:t xml:space="preserve"> </w:t>
      </w:r>
    </w:p>
    <w:p w:rsidR="00825B57" w:rsidRPr="00D51563" w:rsidRDefault="00825B57" w:rsidP="00610FF2">
      <w:pPr>
        <w:autoSpaceDE w:val="0"/>
        <w:autoSpaceDN w:val="0"/>
        <w:adjustRightInd w:val="0"/>
        <w:spacing w:after="0" w:line="240" w:lineRule="auto"/>
        <w:jc w:val="both"/>
        <w:rPr>
          <w:rFonts w:cstheme="minorHAnsi"/>
        </w:rPr>
      </w:pPr>
      <w:r w:rsidRPr="00825B57">
        <w:rPr>
          <w:rFonts w:cstheme="minorHAnsi"/>
          <w:b/>
          <w:u w:val="single"/>
        </w:rPr>
        <w:lastRenderedPageBreak/>
        <w:t>Conclusion</w:t>
      </w:r>
    </w:p>
    <w:p w:rsidR="00EA0C29" w:rsidRPr="00825B57" w:rsidRDefault="00C27D1F" w:rsidP="00610FF2">
      <w:pPr>
        <w:autoSpaceDE w:val="0"/>
        <w:autoSpaceDN w:val="0"/>
        <w:adjustRightInd w:val="0"/>
        <w:spacing w:after="0" w:line="240" w:lineRule="auto"/>
        <w:jc w:val="both"/>
        <w:rPr>
          <w:rFonts w:cstheme="minorHAnsi"/>
          <w:b/>
        </w:rPr>
      </w:pPr>
      <w:r w:rsidRPr="00825B57">
        <w:rPr>
          <w:rFonts w:cstheme="minorHAnsi"/>
        </w:rPr>
        <w:t>This paper gives empirical justification for a conceptual framework that identifies critical enablers and describes the relationship among GSCM implementation. The research objective of finding out whether critical enablers and GSCM implementation have relationship, the data above have provided justification for that. Based on empirical study of 82 respondents across manufacturing sector in UK, this study has justified that certain variables that enhance the capacity, capabilities and serve as a driving force for GSCM implementation must be present. So for green supply chain management to lead to sustainability performance, enablers such as ISO 14001 certification demanded by either suppliers or manufactures, sharing of quality information among departments and supply chain partners,  management commitment and government regulations are key  to ensure successful implementation of GSCM</w:t>
      </w:r>
      <w:r>
        <w:rPr>
          <w:rFonts w:cstheme="minorHAnsi"/>
        </w:rPr>
        <w:t>.</w:t>
      </w:r>
      <w:r w:rsidR="006753B2" w:rsidRPr="00825B57">
        <w:rPr>
          <w:rFonts w:cstheme="minorHAnsi"/>
          <w:b/>
        </w:rPr>
        <w:t xml:space="preserve">    </w:t>
      </w:r>
    </w:p>
    <w:p w:rsidR="00E33F3E" w:rsidRPr="00C11318" w:rsidRDefault="00E33F3E" w:rsidP="00C27D1F">
      <w:pPr>
        <w:autoSpaceDE w:val="0"/>
        <w:autoSpaceDN w:val="0"/>
        <w:adjustRightInd w:val="0"/>
        <w:spacing w:after="0" w:line="240" w:lineRule="auto"/>
        <w:jc w:val="both"/>
        <w:rPr>
          <w:rFonts w:cstheme="minorHAnsi"/>
          <w:sz w:val="10"/>
          <w:szCs w:val="24"/>
        </w:rPr>
      </w:pPr>
    </w:p>
    <w:p w:rsidR="00E33F3E" w:rsidRPr="00825B57" w:rsidRDefault="00E33F3E" w:rsidP="00825B57">
      <w:pPr>
        <w:autoSpaceDE w:val="0"/>
        <w:autoSpaceDN w:val="0"/>
        <w:adjustRightInd w:val="0"/>
        <w:spacing w:after="0" w:line="240" w:lineRule="auto"/>
        <w:jc w:val="both"/>
        <w:rPr>
          <w:rFonts w:cstheme="minorHAnsi"/>
          <w:b/>
          <w:sz w:val="24"/>
          <w:szCs w:val="24"/>
          <w:u w:val="single"/>
        </w:rPr>
      </w:pPr>
      <w:r w:rsidRPr="00825B57">
        <w:rPr>
          <w:rFonts w:cstheme="minorHAnsi"/>
          <w:b/>
          <w:sz w:val="24"/>
          <w:szCs w:val="24"/>
          <w:u w:val="single"/>
        </w:rPr>
        <w:t>Reference</w:t>
      </w:r>
    </w:p>
    <w:p w:rsidR="00E4063E" w:rsidRPr="00C27D1F" w:rsidRDefault="00E4063E"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Abdulrahman</w:t>
      </w:r>
      <w:proofErr w:type="spellEnd"/>
      <w:r w:rsidRPr="00C27D1F">
        <w:rPr>
          <w:rFonts w:cstheme="minorHAnsi"/>
          <w:szCs w:val="24"/>
        </w:rPr>
        <w:t xml:space="preserve">, M.D., </w:t>
      </w:r>
      <w:proofErr w:type="spellStart"/>
      <w:r w:rsidR="004B63A1" w:rsidRPr="00C27D1F">
        <w:rPr>
          <w:rFonts w:cstheme="minorHAnsi"/>
          <w:szCs w:val="24"/>
        </w:rPr>
        <w:t>Gunasekaran</w:t>
      </w:r>
      <w:proofErr w:type="spellEnd"/>
      <w:r w:rsidR="004B63A1" w:rsidRPr="00C27D1F">
        <w:rPr>
          <w:rFonts w:cstheme="minorHAnsi"/>
          <w:szCs w:val="24"/>
        </w:rPr>
        <w:t xml:space="preserve">, A., Subramanian, N. (2014). ‘’Critical barriers in implementing reverse logistics in the Chinese manufacturing sectors. International Journal of Production Economy. Vol 147 pp.460-471 </w:t>
      </w:r>
    </w:p>
    <w:p w:rsidR="007A0087" w:rsidRPr="00C27D1F" w:rsidRDefault="007A0087"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Beamon, A. (1999), ‘’Designing the green supply chain’’, Logistics Information Management, vol. 12 No4,</w:t>
      </w:r>
      <w:r w:rsidR="000B1B79" w:rsidRPr="00C27D1F">
        <w:rPr>
          <w:rFonts w:cstheme="minorHAnsi"/>
          <w:szCs w:val="24"/>
        </w:rPr>
        <w:t xml:space="preserve"> </w:t>
      </w:r>
      <w:r w:rsidRPr="00C27D1F">
        <w:rPr>
          <w:rFonts w:cstheme="minorHAnsi"/>
          <w:szCs w:val="24"/>
        </w:rPr>
        <w:t>pp 330-353.</w:t>
      </w:r>
    </w:p>
    <w:p w:rsidR="001279FC" w:rsidRPr="00C27D1F" w:rsidRDefault="001279FC"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Balsmeier</w:t>
      </w:r>
      <w:proofErr w:type="spellEnd"/>
      <w:r w:rsidRPr="00C27D1F">
        <w:rPr>
          <w:rFonts w:cstheme="minorHAnsi"/>
          <w:szCs w:val="24"/>
        </w:rPr>
        <w:t xml:space="preserve">, P.W. </w:t>
      </w:r>
      <w:proofErr w:type="spellStart"/>
      <w:r w:rsidRPr="00C27D1F">
        <w:rPr>
          <w:rFonts w:cstheme="minorHAnsi"/>
          <w:szCs w:val="24"/>
        </w:rPr>
        <w:t>Voisin</w:t>
      </w:r>
      <w:proofErr w:type="spellEnd"/>
      <w:r w:rsidRPr="00C27D1F">
        <w:rPr>
          <w:rFonts w:cstheme="minorHAnsi"/>
          <w:szCs w:val="24"/>
        </w:rPr>
        <w:t>, W. (1996). Supply chain management: a time-based strategy. Industrial Management. Vol 38 No 5, pp. 24-27.</w:t>
      </w:r>
    </w:p>
    <w:p w:rsidR="007A0087" w:rsidRPr="00C27D1F" w:rsidRDefault="007A0087"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 xml:space="preserve">Bowen, F.E., Cousins, P.D., Lamming, R.C. and </w:t>
      </w:r>
      <w:proofErr w:type="spellStart"/>
      <w:r w:rsidRPr="00C27D1F">
        <w:rPr>
          <w:rFonts w:cstheme="minorHAnsi"/>
          <w:szCs w:val="24"/>
        </w:rPr>
        <w:t>Faruk</w:t>
      </w:r>
      <w:proofErr w:type="spellEnd"/>
      <w:r w:rsidRPr="00C27D1F">
        <w:rPr>
          <w:rFonts w:cstheme="minorHAnsi"/>
          <w:szCs w:val="24"/>
        </w:rPr>
        <w:t>, A.C. (2001). Horses for courses. Greener Management International, 35 41-60.</w:t>
      </w:r>
    </w:p>
    <w:p w:rsidR="000B1B79" w:rsidRPr="00C27D1F" w:rsidRDefault="000B1B79"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 xml:space="preserve">Bai, C., </w:t>
      </w:r>
      <w:proofErr w:type="spellStart"/>
      <w:r w:rsidRPr="00C27D1F">
        <w:rPr>
          <w:rFonts w:cstheme="minorHAnsi"/>
          <w:szCs w:val="24"/>
        </w:rPr>
        <w:t>Sarkis</w:t>
      </w:r>
      <w:proofErr w:type="spellEnd"/>
      <w:r w:rsidRPr="00C27D1F">
        <w:rPr>
          <w:rFonts w:cstheme="minorHAnsi"/>
          <w:szCs w:val="24"/>
        </w:rPr>
        <w:t>, J., (2010)</w:t>
      </w:r>
      <w:r w:rsidR="004B63A1" w:rsidRPr="00C27D1F">
        <w:rPr>
          <w:rFonts w:cstheme="minorHAnsi"/>
          <w:szCs w:val="24"/>
        </w:rPr>
        <w:t>. Greener supply development: Analytical evaluation using rough set theory. Journal of cleaner production Vol 17 No 2 pp.255-264.</w:t>
      </w:r>
    </w:p>
    <w:p w:rsidR="000D3EBC" w:rsidRPr="00C27D1F" w:rsidRDefault="000D3EBC"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 xml:space="preserve">Carter, C and </w:t>
      </w:r>
      <w:proofErr w:type="spellStart"/>
      <w:r w:rsidRPr="00C27D1F">
        <w:rPr>
          <w:rFonts w:cstheme="minorHAnsi"/>
          <w:szCs w:val="24"/>
        </w:rPr>
        <w:t>Ellram</w:t>
      </w:r>
      <w:proofErr w:type="spellEnd"/>
      <w:r w:rsidRPr="00C27D1F">
        <w:rPr>
          <w:rFonts w:cstheme="minorHAnsi"/>
          <w:szCs w:val="24"/>
        </w:rPr>
        <w:t>, L. (1999), ‘’Reverse Logistics: a review of the literature and framework for future investigation’’, Journal of Business Logistics, Vol</w:t>
      </w:r>
      <w:r w:rsidR="00F47345" w:rsidRPr="00C27D1F">
        <w:rPr>
          <w:rFonts w:cstheme="minorHAnsi"/>
          <w:szCs w:val="24"/>
        </w:rPr>
        <w:t xml:space="preserve"> </w:t>
      </w:r>
      <w:r w:rsidRPr="00C27D1F">
        <w:rPr>
          <w:rFonts w:cstheme="minorHAnsi"/>
          <w:szCs w:val="24"/>
        </w:rPr>
        <w:t>19 No. 1, pp. 85-102.</w:t>
      </w:r>
    </w:p>
    <w:p w:rsidR="000B1B79" w:rsidRPr="00C27D1F" w:rsidRDefault="000D3EBC"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Carter, C.R. and Jennings, M.M. (2002), ‘’Social responsibility and supply chain relationships</w:t>
      </w:r>
      <w:r w:rsidR="00F47345" w:rsidRPr="00C27D1F">
        <w:rPr>
          <w:rFonts w:cstheme="minorHAnsi"/>
          <w:szCs w:val="24"/>
        </w:rPr>
        <w:t>’’</w:t>
      </w:r>
      <w:r w:rsidRPr="00C27D1F">
        <w:rPr>
          <w:rFonts w:cstheme="minorHAnsi"/>
          <w:szCs w:val="24"/>
        </w:rPr>
        <w:t xml:space="preserve">. </w:t>
      </w:r>
      <w:r w:rsidR="000B1B79" w:rsidRPr="00C27D1F">
        <w:rPr>
          <w:rFonts w:cstheme="minorHAnsi"/>
          <w:szCs w:val="24"/>
        </w:rPr>
        <w:t>Transportation Research Part E: Logistics and Transportation Review. Vol. 38 No1, pp. 37-52.</w:t>
      </w:r>
    </w:p>
    <w:p w:rsidR="000B1B79" w:rsidRPr="00C27D1F" w:rsidRDefault="000B1B79"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Chiou</w:t>
      </w:r>
      <w:proofErr w:type="spellEnd"/>
      <w:r w:rsidRPr="00C27D1F">
        <w:rPr>
          <w:rFonts w:cstheme="minorHAnsi"/>
          <w:szCs w:val="24"/>
        </w:rPr>
        <w:t>, T.Y., Chan, H.K., Lettice, F., Chung, S.H. (2011). ‘’The influence of greening the suppliers and green innovation on environmental performance and competitive advantage in Taiwan’’. Transportation Research Part E</w:t>
      </w:r>
      <w:r w:rsidR="00F47345" w:rsidRPr="00C27D1F">
        <w:rPr>
          <w:rFonts w:cstheme="minorHAnsi"/>
          <w:szCs w:val="24"/>
        </w:rPr>
        <w:t>. Vol. 47 pp. 822-836.</w:t>
      </w:r>
    </w:p>
    <w:p w:rsidR="00C369E8" w:rsidRPr="00C27D1F" w:rsidRDefault="00C369E8"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Childhouse</w:t>
      </w:r>
      <w:proofErr w:type="spellEnd"/>
      <w:r w:rsidRPr="00C27D1F">
        <w:rPr>
          <w:rFonts w:cstheme="minorHAnsi"/>
          <w:szCs w:val="24"/>
        </w:rPr>
        <w:t xml:space="preserve">, P., </w:t>
      </w:r>
      <w:proofErr w:type="spellStart"/>
      <w:r w:rsidRPr="00C27D1F">
        <w:rPr>
          <w:rFonts w:cstheme="minorHAnsi"/>
          <w:szCs w:val="24"/>
        </w:rPr>
        <w:t>Towell</w:t>
      </w:r>
      <w:proofErr w:type="spellEnd"/>
      <w:r w:rsidRPr="00C27D1F">
        <w:rPr>
          <w:rFonts w:cstheme="minorHAnsi"/>
          <w:szCs w:val="24"/>
        </w:rPr>
        <w:t>, D.R. (</w:t>
      </w:r>
      <w:r w:rsidR="00712C1B" w:rsidRPr="00C27D1F">
        <w:rPr>
          <w:rFonts w:cstheme="minorHAnsi"/>
          <w:szCs w:val="24"/>
        </w:rPr>
        <w:t xml:space="preserve">2003). ‘’ Simplified material flow hold the key to supply </w:t>
      </w:r>
      <w:r w:rsidR="001279FC" w:rsidRPr="00C27D1F">
        <w:rPr>
          <w:rFonts w:cstheme="minorHAnsi"/>
          <w:szCs w:val="24"/>
        </w:rPr>
        <w:t xml:space="preserve">chain integration. Omega Vol 1, pp. 17-27. </w:t>
      </w:r>
    </w:p>
    <w:p w:rsidR="00657B39" w:rsidRPr="00C27D1F" w:rsidRDefault="00657B39"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 xml:space="preserve">De Brito, M., Carbone, V., </w:t>
      </w:r>
      <w:proofErr w:type="spellStart"/>
      <w:r w:rsidRPr="00C27D1F">
        <w:rPr>
          <w:rFonts w:cstheme="minorHAnsi"/>
          <w:szCs w:val="24"/>
        </w:rPr>
        <w:t>lanquart</w:t>
      </w:r>
      <w:proofErr w:type="spellEnd"/>
      <w:r w:rsidRPr="00C27D1F">
        <w:rPr>
          <w:rFonts w:cstheme="minorHAnsi"/>
          <w:szCs w:val="24"/>
        </w:rPr>
        <w:t>, C. (2008). ‘’Towards a sustainable fashion retail supply chain in Europ</w:t>
      </w:r>
      <w:r w:rsidR="000D2F3B" w:rsidRPr="00C27D1F">
        <w:rPr>
          <w:rFonts w:cstheme="minorHAnsi"/>
          <w:szCs w:val="24"/>
        </w:rPr>
        <w:t>e: organisation and performance. International Journal of production Economics. Vol 114 No 2, pp. 534-553.</w:t>
      </w:r>
    </w:p>
    <w:p w:rsidR="004B63A1" w:rsidRPr="00C27D1F" w:rsidRDefault="00657B39"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Diabat</w:t>
      </w:r>
      <w:proofErr w:type="spellEnd"/>
      <w:r w:rsidRPr="00C27D1F">
        <w:rPr>
          <w:rFonts w:cstheme="minorHAnsi"/>
          <w:szCs w:val="24"/>
        </w:rPr>
        <w:t xml:space="preserve">, A., Kannan, D., </w:t>
      </w:r>
      <w:proofErr w:type="spellStart"/>
      <w:r w:rsidRPr="00C27D1F">
        <w:rPr>
          <w:rFonts w:cstheme="minorHAnsi"/>
          <w:szCs w:val="24"/>
        </w:rPr>
        <w:t>Mathiyazhagan</w:t>
      </w:r>
      <w:proofErr w:type="spellEnd"/>
      <w:r w:rsidRPr="00C27D1F">
        <w:rPr>
          <w:rFonts w:cstheme="minorHAnsi"/>
          <w:szCs w:val="24"/>
        </w:rPr>
        <w:t xml:space="preserve">, K. (2014). ‘’ Analysis of enablers for implementation of sustainable supply chain management – A textile Case. Journal of </w:t>
      </w:r>
      <w:proofErr w:type="spellStart"/>
      <w:r w:rsidRPr="00C27D1F">
        <w:rPr>
          <w:rFonts w:cstheme="minorHAnsi"/>
          <w:szCs w:val="24"/>
        </w:rPr>
        <w:t>clearner</w:t>
      </w:r>
      <w:proofErr w:type="spellEnd"/>
      <w:r w:rsidRPr="00C27D1F">
        <w:rPr>
          <w:rFonts w:cstheme="minorHAnsi"/>
          <w:szCs w:val="24"/>
        </w:rPr>
        <w:t xml:space="preserve"> production Vol 83 pp. 391-403.</w:t>
      </w:r>
    </w:p>
    <w:p w:rsidR="00FA0133" w:rsidRPr="00C27D1F" w:rsidRDefault="004B63A1"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Gimenez</w:t>
      </w:r>
      <w:proofErr w:type="spellEnd"/>
      <w:r w:rsidRPr="00C27D1F">
        <w:rPr>
          <w:rFonts w:cstheme="minorHAnsi"/>
          <w:szCs w:val="24"/>
        </w:rPr>
        <w:t xml:space="preserve">, C., </w:t>
      </w:r>
      <w:proofErr w:type="spellStart"/>
      <w:r w:rsidR="00E045E4" w:rsidRPr="00C27D1F">
        <w:rPr>
          <w:rFonts w:cstheme="minorHAnsi"/>
          <w:szCs w:val="24"/>
        </w:rPr>
        <w:t>Vaart</w:t>
      </w:r>
      <w:proofErr w:type="spellEnd"/>
      <w:r w:rsidR="00E045E4" w:rsidRPr="00C27D1F">
        <w:rPr>
          <w:rFonts w:cstheme="minorHAnsi"/>
          <w:szCs w:val="24"/>
        </w:rPr>
        <w:t>, T.V.D., Donk, D.P.V. (2012). ‘’ Supply chain integration and performance the moderating effect of supply complexity. International Journal of operation and production management. Vol 32 No5, pp. 583-610</w:t>
      </w:r>
    </w:p>
    <w:p w:rsidR="00C33C77" w:rsidRPr="00C27D1F" w:rsidRDefault="00FA0133"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r w:rsidRPr="00C27D1F">
        <w:rPr>
          <w:rFonts w:cstheme="minorHAnsi"/>
          <w:szCs w:val="24"/>
        </w:rPr>
        <w:t xml:space="preserve">Green Jr, K.W., </w:t>
      </w:r>
      <w:proofErr w:type="spellStart"/>
      <w:r w:rsidRPr="00C27D1F">
        <w:rPr>
          <w:rFonts w:cstheme="minorHAnsi"/>
          <w:szCs w:val="24"/>
        </w:rPr>
        <w:t>Zelbst</w:t>
      </w:r>
      <w:proofErr w:type="spellEnd"/>
      <w:r w:rsidRPr="00C27D1F">
        <w:rPr>
          <w:rFonts w:cstheme="minorHAnsi"/>
          <w:szCs w:val="24"/>
        </w:rPr>
        <w:t xml:space="preserve">, P.J., Meacham, J., </w:t>
      </w:r>
      <w:proofErr w:type="spellStart"/>
      <w:r w:rsidRPr="00C27D1F">
        <w:rPr>
          <w:rFonts w:cstheme="minorHAnsi"/>
          <w:szCs w:val="24"/>
        </w:rPr>
        <w:t>Bhadauria</w:t>
      </w:r>
      <w:proofErr w:type="spellEnd"/>
      <w:r w:rsidRPr="00C27D1F">
        <w:rPr>
          <w:rFonts w:cstheme="minorHAnsi"/>
          <w:szCs w:val="24"/>
        </w:rPr>
        <w:t xml:space="preserve">, </w:t>
      </w:r>
      <w:r w:rsidR="00C33C77" w:rsidRPr="00C27D1F">
        <w:rPr>
          <w:rFonts w:cstheme="minorHAnsi"/>
          <w:szCs w:val="24"/>
        </w:rPr>
        <w:t>V.S</w:t>
      </w:r>
      <w:proofErr w:type="gramStart"/>
      <w:r w:rsidR="00C33C77" w:rsidRPr="00C27D1F">
        <w:rPr>
          <w:rFonts w:cstheme="minorHAnsi"/>
          <w:szCs w:val="24"/>
        </w:rPr>
        <w:t>.(</w:t>
      </w:r>
      <w:proofErr w:type="gramEnd"/>
      <w:r w:rsidR="00C33C77" w:rsidRPr="00C27D1F">
        <w:rPr>
          <w:rFonts w:cstheme="minorHAnsi"/>
          <w:szCs w:val="24"/>
        </w:rPr>
        <w:t>2012). ‘’ Green supply chain management practices: impact on performance. Supply chain management. International journal. Vol 17 No 3, pp. 290-305.</w:t>
      </w:r>
    </w:p>
    <w:p w:rsidR="00CA2567" w:rsidRPr="00C27D1F" w:rsidRDefault="00C33C77" w:rsidP="00C27D1F">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C27D1F">
        <w:rPr>
          <w:rFonts w:cstheme="minorHAnsi"/>
          <w:szCs w:val="24"/>
        </w:rPr>
        <w:t>Jayaram</w:t>
      </w:r>
      <w:proofErr w:type="spellEnd"/>
      <w:r w:rsidRPr="00C27D1F">
        <w:rPr>
          <w:rFonts w:cstheme="minorHAnsi"/>
          <w:szCs w:val="24"/>
        </w:rPr>
        <w:t xml:space="preserve">, J., </w:t>
      </w:r>
      <w:proofErr w:type="spellStart"/>
      <w:r w:rsidRPr="00C27D1F">
        <w:rPr>
          <w:rFonts w:cstheme="minorHAnsi"/>
          <w:szCs w:val="24"/>
        </w:rPr>
        <w:t>Avittathur</w:t>
      </w:r>
      <w:proofErr w:type="spellEnd"/>
      <w:r w:rsidRPr="00C27D1F">
        <w:rPr>
          <w:rFonts w:cstheme="minorHAnsi"/>
          <w:szCs w:val="24"/>
        </w:rPr>
        <w:t>, B. (2015). ‘’Green supply chains. A perspective from emerging economy. International Journal of production Economy. Vol 164, pp.234-244.</w:t>
      </w:r>
    </w:p>
    <w:p w:rsidR="006065F5" w:rsidRDefault="00CA2567" w:rsidP="006065F5">
      <w:pPr>
        <w:pStyle w:val="ListParagraph"/>
        <w:numPr>
          <w:ilvl w:val="0"/>
          <w:numId w:val="14"/>
        </w:numPr>
        <w:autoSpaceDE w:val="0"/>
        <w:autoSpaceDN w:val="0"/>
        <w:adjustRightInd w:val="0"/>
        <w:spacing w:after="0" w:line="240" w:lineRule="auto"/>
        <w:ind w:left="567" w:hanging="283"/>
        <w:jc w:val="both"/>
        <w:rPr>
          <w:rFonts w:cstheme="minorHAnsi"/>
          <w:szCs w:val="24"/>
        </w:rPr>
      </w:pPr>
      <w:r w:rsidRPr="006065F5">
        <w:rPr>
          <w:rFonts w:cstheme="minorHAnsi"/>
          <w:szCs w:val="24"/>
        </w:rPr>
        <w:t xml:space="preserve">Hair, Jr. J.F., Black, W.C., </w:t>
      </w:r>
      <w:proofErr w:type="spellStart"/>
      <w:r w:rsidRPr="006065F5">
        <w:rPr>
          <w:rFonts w:cstheme="minorHAnsi"/>
          <w:szCs w:val="24"/>
        </w:rPr>
        <w:t>Babin</w:t>
      </w:r>
      <w:proofErr w:type="spellEnd"/>
      <w:r w:rsidRPr="006065F5">
        <w:rPr>
          <w:rFonts w:cstheme="minorHAnsi"/>
          <w:szCs w:val="24"/>
        </w:rPr>
        <w:t>, B.J., Anderson, R.E. (2014). Multivariate Data Analysis. Seven edition, Pearson New International Edition.</w:t>
      </w:r>
    </w:p>
    <w:p w:rsidR="000D3EBC" w:rsidRPr="006065F5" w:rsidRDefault="00C63CC2" w:rsidP="006065F5">
      <w:pPr>
        <w:pStyle w:val="ListParagraph"/>
        <w:numPr>
          <w:ilvl w:val="0"/>
          <w:numId w:val="14"/>
        </w:numPr>
        <w:autoSpaceDE w:val="0"/>
        <w:autoSpaceDN w:val="0"/>
        <w:adjustRightInd w:val="0"/>
        <w:spacing w:after="0" w:line="240" w:lineRule="auto"/>
        <w:ind w:left="567" w:hanging="283"/>
        <w:jc w:val="both"/>
        <w:rPr>
          <w:rFonts w:cstheme="minorHAnsi"/>
          <w:szCs w:val="24"/>
        </w:rPr>
      </w:pPr>
      <w:proofErr w:type="spellStart"/>
      <w:r w:rsidRPr="006065F5">
        <w:rPr>
          <w:rFonts w:cstheme="minorHAnsi"/>
          <w:szCs w:val="24"/>
        </w:rPr>
        <w:t>Laksmimeera</w:t>
      </w:r>
      <w:proofErr w:type="spellEnd"/>
      <w:r w:rsidRPr="006065F5">
        <w:rPr>
          <w:rFonts w:cstheme="minorHAnsi"/>
          <w:szCs w:val="24"/>
        </w:rPr>
        <w:t xml:space="preserve">, B.L., </w:t>
      </w:r>
      <w:proofErr w:type="spellStart"/>
      <w:r w:rsidRPr="006065F5">
        <w:rPr>
          <w:rFonts w:cstheme="minorHAnsi"/>
          <w:szCs w:val="24"/>
        </w:rPr>
        <w:t>Palanisamy</w:t>
      </w:r>
      <w:proofErr w:type="spellEnd"/>
      <w:r w:rsidRPr="006065F5">
        <w:rPr>
          <w:rFonts w:cstheme="minorHAnsi"/>
          <w:szCs w:val="24"/>
        </w:rPr>
        <w:t xml:space="preserve">, C. (2013). </w:t>
      </w:r>
      <w:proofErr w:type="spellStart"/>
      <w:r w:rsidRPr="006065F5">
        <w:rPr>
          <w:rFonts w:cstheme="minorHAnsi"/>
          <w:szCs w:val="24"/>
        </w:rPr>
        <w:t>Aconceptual</w:t>
      </w:r>
      <w:proofErr w:type="spellEnd"/>
      <w:r w:rsidRPr="006065F5">
        <w:rPr>
          <w:rFonts w:cstheme="minorHAnsi"/>
          <w:szCs w:val="24"/>
        </w:rPr>
        <w:t xml:space="preserve"> framework on green supply chain management practices. Industrial engineering letters Vol 3 No10. </w:t>
      </w:r>
    </w:p>
    <w:sectPr w:rsidR="000D3EBC" w:rsidRPr="006065F5" w:rsidSect="00610FF2">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F2" w:rsidRDefault="00610FF2" w:rsidP="005A1B54">
      <w:pPr>
        <w:spacing w:after="0" w:line="240" w:lineRule="auto"/>
      </w:pPr>
      <w:r>
        <w:separator/>
      </w:r>
    </w:p>
  </w:endnote>
  <w:endnote w:type="continuationSeparator" w:id="0">
    <w:p w:rsidR="00610FF2" w:rsidRDefault="00610FF2" w:rsidP="005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05619"/>
      <w:docPartObj>
        <w:docPartGallery w:val="Page Numbers (Bottom of Page)"/>
        <w:docPartUnique/>
      </w:docPartObj>
    </w:sdtPr>
    <w:sdtEndPr>
      <w:rPr>
        <w:noProof/>
      </w:rPr>
    </w:sdtEndPr>
    <w:sdtContent>
      <w:p w:rsidR="00610FF2" w:rsidRDefault="00610FF2">
        <w:pPr>
          <w:pStyle w:val="Footer"/>
          <w:jc w:val="right"/>
        </w:pPr>
        <w:r>
          <w:fldChar w:fldCharType="begin"/>
        </w:r>
        <w:r>
          <w:instrText xml:space="preserve"> PAGE   \* MERGEFORMAT </w:instrText>
        </w:r>
        <w:r>
          <w:fldChar w:fldCharType="separate"/>
        </w:r>
        <w:r w:rsidR="006065F5">
          <w:rPr>
            <w:noProof/>
          </w:rPr>
          <w:t>9</w:t>
        </w:r>
        <w:r>
          <w:rPr>
            <w:noProof/>
          </w:rPr>
          <w:fldChar w:fldCharType="end"/>
        </w:r>
      </w:p>
    </w:sdtContent>
  </w:sdt>
  <w:p w:rsidR="00610FF2" w:rsidRDefault="0061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F2" w:rsidRDefault="00610FF2" w:rsidP="005A1B54">
      <w:pPr>
        <w:spacing w:after="0" w:line="240" w:lineRule="auto"/>
      </w:pPr>
      <w:r>
        <w:separator/>
      </w:r>
    </w:p>
  </w:footnote>
  <w:footnote w:type="continuationSeparator" w:id="0">
    <w:p w:rsidR="00610FF2" w:rsidRDefault="00610FF2" w:rsidP="005A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16"/>
    <w:multiLevelType w:val="multilevel"/>
    <w:tmpl w:val="54FE1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A7161"/>
    <w:multiLevelType w:val="multilevel"/>
    <w:tmpl w:val="F63638C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BE6877"/>
    <w:multiLevelType w:val="hybridMultilevel"/>
    <w:tmpl w:val="E698E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42192"/>
    <w:multiLevelType w:val="hybridMultilevel"/>
    <w:tmpl w:val="0A0A6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7C3"/>
    <w:multiLevelType w:val="hybridMultilevel"/>
    <w:tmpl w:val="19F4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F590A"/>
    <w:multiLevelType w:val="hybridMultilevel"/>
    <w:tmpl w:val="51CE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30EAF"/>
    <w:multiLevelType w:val="hybridMultilevel"/>
    <w:tmpl w:val="40D6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46B10"/>
    <w:multiLevelType w:val="multilevel"/>
    <w:tmpl w:val="1E283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075CC"/>
    <w:multiLevelType w:val="multilevel"/>
    <w:tmpl w:val="BE38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9465AD"/>
    <w:multiLevelType w:val="multilevel"/>
    <w:tmpl w:val="E8EC2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6E54BD"/>
    <w:multiLevelType w:val="hybridMultilevel"/>
    <w:tmpl w:val="D608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50056"/>
    <w:multiLevelType w:val="hybridMultilevel"/>
    <w:tmpl w:val="D66A5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554A0"/>
    <w:multiLevelType w:val="multilevel"/>
    <w:tmpl w:val="8376B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59539A"/>
    <w:multiLevelType w:val="multilevel"/>
    <w:tmpl w:val="46C08BF4"/>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2"/>
  </w:num>
  <w:num w:numId="3">
    <w:abstractNumId w:val="2"/>
  </w:num>
  <w:num w:numId="4">
    <w:abstractNumId w:val="7"/>
  </w:num>
  <w:num w:numId="5">
    <w:abstractNumId w:val="10"/>
  </w:num>
  <w:num w:numId="6">
    <w:abstractNumId w:val="11"/>
  </w:num>
  <w:num w:numId="7">
    <w:abstractNumId w:val="8"/>
  </w:num>
  <w:num w:numId="8">
    <w:abstractNumId w:val="0"/>
  </w:num>
  <w:num w:numId="9">
    <w:abstractNumId w:val="6"/>
  </w:num>
  <w:num w:numId="10">
    <w:abstractNumId w:val="9"/>
  </w:num>
  <w:num w:numId="11">
    <w:abstractNumId w:val="1"/>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A6"/>
    <w:rsid w:val="0000052C"/>
    <w:rsid w:val="00003444"/>
    <w:rsid w:val="0000594C"/>
    <w:rsid w:val="00012A17"/>
    <w:rsid w:val="000219DB"/>
    <w:rsid w:val="0002528B"/>
    <w:rsid w:val="00034AEC"/>
    <w:rsid w:val="000405F6"/>
    <w:rsid w:val="000422E8"/>
    <w:rsid w:val="00067444"/>
    <w:rsid w:val="00076A60"/>
    <w:rsid w:val="00081088"/>
    <w:rsid w:val="00097F5C"/>
    <w:rsid w:val="000B1B79"/>
    <w:rsid w:val="000B34AB"/>
    <w:rsid w:val="000D2F3B"/>
    <w:rsid w:val="000D3EBC"/>
    <w:rsid w:val="000D6301"/>
    <w:rsid w:val="000D72BE"/>
    <w:rsid w:val="000E0C4B"/>
    <w:rsid w:val="000E2AFE"/>
    <w:rsid w:val="000E5708"/>
    <w:rsid w:val="000F32CB"/>
    <w:rsid w:val="000F5998"/>
    <w:rsid w:val="000F743B"/>
    <w:rsid w:val="0010117B"/>
    <w:rsid w:val="001031D0"/>
    <w:rsid w:val="0011276E"/>
    <w:rsid w:val="00114326"/>
    <w:rsid w:val="00114FDC"/>
    <w:rsid w:val="00115DB5"/>
    <w:rsid w:val="00117EBA"/>
    <w:rsid w:val="0012322D"/>
    <w:rsid w:val="001279FC"/>
    <w:rsid w:val="00127AE0"/>
    <w:rsid w:val="0013252C"/>
    <w:rsid w:val="00133D2F"/>
    <w:rsid w:val="00140D56"/>
    <w:rsid w:val="001475B0"/>
    <w:rsid w:val="00150D32"/>
    <w:rsid w:val="001538FF"/>
    <w:rsid w:val="00155606"/>
    <w:rsid w:val="00155DFE"/>
    <w:rsid w:val="0016216F"/>
    <w:rsid w:val="001732F0"/>
    <w:rsid w:val="00193B82"/>
    <w:rsid w:val="001A3F54"/>
    <w:rsid w:val="001A435C"/>
    <w:rsid w:val="001B50DF"/>
    <w:rsid w:val="001C7874"/>
    <w:rsid w:val="001D6441"/>
    <w:rsid w:val="001E4B04"/>
    <w:rsid w:val="001E689D"/>
    <w:rsid w:val="001F446E"/>
    <w:rsid w:val="00200B4C"/>
    <w:rsid w:val="002070B6"/>
    <w:rsid w:val="0020745B"/>
    <w:rsid w:val="002105FF"/>
    <w:rsid w:val="002112D7"/>
    <w:rsid w:val="00220824"/>
    <w:rsid w:val="00224C9A"/>
    <w:rsid w:val="002408DC"/>
    <w:rsid w:val="0024725C"/>
    <w:rsid w:val="00261E55"/>
    <w:rsid w:val="0026771A"/>
    <w:rsid w:val="00273E5B"/>
    <w:rsid w:val="00277429"/>
    <w:rsid w:val="002843F5"/>
    <w:rsid w:val="002A2449"/>
    <w:rsid w:val="002A426F"/>
    <w:rsid w:val="002A4817"/>
    <w:rsid w:val="002C15A2"/>
    <w:rsid w:val="002C5E8E"/>
    <w:rsid w:val="002C6E28"/>
    <w:rsid w:val="002D3A96"/>
    <w:rsid w:val="002D4924"/>
    <w:rsid w:val="002D6648"/>
    <w:rsid w:val="002F3B37"/>
    <w:rsid w:val="00304302"/>
    <w:rsid w:val="00306AC9"/>
    <w:rsid w:val="00310428"/>
    <w:rsid w:val="00314F89"/>
    <w:rsid w:val="00315C48"/>
    <w:rsid w:val="00322442"/>
    <w:rsid w:val="00323D42"/>
    <w:rsid w:val="003260E7"/>
    <w:rsid w:val="00327B90"/>
    <w:rsid w:val="0033167F"/>
    <w:rsid w:val="00336FB7"/>
    <w:rsid w:val="00344F12"/>
    <w:rsid w:val="00347D45"/>
    <w:rsid w:val="003549FC"/>
    <w:rsid w:val="00372131"/>
    <w:rsid w:val="00376D8A"/>
    <w:rsid w:val="0037768C"/>
    <w:rsid w:val="0039067B"/>
    <w:rsid w:val="00390A4F"/>
    <w:rsid w:val="003B0736"/>
    <w:rsid w:val="003B3D51"/>
    <w:rsid w:val="003B484D"/>
    <w:rsid w:val="003C7D0F"/>
    <w:rsid w:val="003D583F"/>
    <w:rsid w:val="003F2E44"/>
    <w:rsid w:val="003F4FDB"/>
    <w:rsid w:val="0040514E"/>
    <w:rsid w:val="004057F2"/>
    <w:rsid w:val="004173B2"/>
    <w:rsid w:val="00421DF8"/>
    <w:rsid w:val="00442A74"/>
    <w:rsid w:val="00442D1C"/>
    <w:rsid w:val="00463CE2"/>
    <w:rsid w:val="0046687E"/>
    <w:rsid w:val="004728EA"/>
    <w:rsid w:val="00474578"/>
    <w:rsid w:val="00477EB6"/>
    <w:rsid w:val="0048185F"/>
    <w:rsid w:val="00483CF4"/>
    <w:rsid w:val="00484E6D"/>
    <w:rsid w:val="00490C37"/>
    <w:rsid w:val="004A0BB5"/>
    <w:rsid w:val="004A2DD7"/>
    <w:rsid w:val="004B63A1"/>
    <w:rsid w:val="004B65C1"/>
    <w:rsid w:val="004C0594"/>
    <w:rsid w:val="004C0D5F"/>
    <w:rsid w:val="004C1B6D"/>
    <w:rsid w:val="004D1AE1"/>
    <w:rsid w:val="004E598F"/>
    <w:rsid w:val="00500E52"/>
    <w:rsid w:val="0051034F"/>
    <w:rsid w:val="005177CB"/>
    <w:rsid w:val="00525CCE"/>
    <w:rsid w:val="00527C20"/>
    <w:rsid w:val="00533F63"/>
    <w:rsid w:val="005675F8"/>
    <w:rsid w:val="0057133E"/>
    <w:rsid w:val="00575CA9"/>
    <w:rsid w:val="00577827"/>
    <w:rsid w:val="00583BB0"/>
    <w:rsid w:val="00586F04"/>
    <w:rsid w:val="00595F61"/>
    <w:rsid w:val="005A013F"/>
    <w:rsid w:val="005A1B54"/>
    <w:rsid w:val="005A3475"/>
    <w:rsid w:val="005A3682"/>
    <w:rsid w:val="005A4B8A"/>
    <w:rsid w:val="005A6D4A"/>
    <w:rsid w:val="005A6E2A"/>
    <w:rsid w:val="005A7BAE"/>
    <w:rsid w:val="005A7BC9"/>
    <w:rsid w:val="005C3FB5"/>
    <w:rsid w:val="005C6ED3"/>
    <w:rsid w:val="005D00D3"/>
    <w:rsid w:val="005D1748"/>
    <w:rsid w:val="005E3D49"/>
    <w:rsid w:val="005F1C29"/>
    <w:rsid w:val="005F58AC"/>
    <w:rsid w:val="005F667F"/>
    <w:rsid w:val="0060421B"/>
    <w:rsid w:val="006065F5"/>
    <w:rsid w:val="00610FF2"/>
    <w:rsid w:val="0061652D"/>
    <w:rsid w:val="0061656F"/>
    <w:rsid w:val="00617860"/>
    <w:rsid w:val="00620831"/>
    <w:rsid w:val="00626E7A"/>
    <w:rsid w:val="00632ADF"/>
    <w:rsid w:val="00657B39"/>
    <w:rsid w:val="00666F41"/>
    <w:rsid w:val="006753B2"/>
    <w:rsid w:val="0069214A"/>
    <w:rsid w:val="00695ED9"/>
    <w:rsid w:val="006A3A59"/>
    <w:rsid w:val="006B0AD7"/>
    <w:rsid w:val="006B2335"/>
    <w:rsid w:val="006B51CE"/>
    <w:rsid w:val="006C43D4"/>
    <w:rsid w:val="006D1E5C"/>
    <w:rsid w:val="006D1E5F"/>
    <w:rsid w:val="006D39A6"/>
    <w:rsid w:val="006E3645"/>
    <w:rsid w:val="006E51CC"/>
    <w:rsid w:val="006F40E9"/>
    <w:rsid w:val="00703547"/>
    <w:rsid w:val="00712C1B"/>
    <w:rsid w:val="007344FC"/>
    <w:rsid w:val="00783A2F"/>
    <w:rsid w:val="0078604A"/>
    <w:rsid w:val="00787565"/>
    <w:rsid w:val="00793E1D"/>
    <w:rsid w:val="007958AE"/>
    <w:rsid w:val="007A0087"/>
    <w:rsid w:val="007A1A3C"/>
    <w:rsid w:val="007B65B6"/>
    <w:rsid w:val="007C7F17"/>
    <w:rsid w:val="007D6FD9"/>
    <w:rsid w:val="007D7369"/>
    <w:rsid w:val="007E0C1A"/>
    <w:rsid w:val="00804740"/>
    <w:rsid w:val="00807471"/>
    <w:rsid w:val="00813AE5"/>
    <w:rsid w:val="00814705"/>
    <w:rsid w:val="00824F3B"/>
    <w:rsid w:val="00825B57"/>
    <w:rsid w:val="00841A0A"/>
    <w:rsid w:val="008450E7"/>
    <w:rsid w:val="0085045E"/>
    <w:rsid w:val="00850817"/>
    <w:rsid w:val="00865486"/>
    <w:rsid w:val="008709C5"/>
    <w:rsid w:val="00881FD0"/>
    <w:rsid w:val="00886935"/>
    <w:rsid w:val="00895556"/>
    <w:rsid w:val="008A5A2F"/>
    <w:rsid w:val="008A5A43"/>
    <w:rsid w:val="008B2924"/>
    <w:rsid w:val="008C324B"/>
    <w:rsid w:val="008D77AB"/>
    <w:rsid w:val="008E5302"/>
    <w:rsid w:val="00901CE7"/>
    <w:rsid w:val="00913D1E"/>
    <w:rsid w:val="00920A1F"/>
    <w:rsid w:val="00920DF4"/>
    <w:rsid w:val="00921DE9"/>
    <w:rsid w:val="00922551"/>
    <w:rsid w:val="00922826"/>
    <w:rsid w:val="00927641"/>
    <w:rsid w:val="0093737E"/>
    <w:rsid w:val="00941914"/>
    <w:rsid w:val="0094490E"/>
    <w:rsid w:val="00952D7D"/>
    <w:rsid w:val="00964561"/>
    <w:rsid w:val="00965601"/>
    <w:rsid w:val="009660BA"/>
    <w:rsid w:val="00967672"/>
    <w:rsid w:val="00967C30"/>
    <w:rsid w:val="009706E5"/>
    <w:rsid w:val="00987150"/>
    <w:rsid w:val="00990E7F"/>
    <w:rsid w:val="009A6506"/>
    <w:rsid w:val="009A6C87"/>
    <w:rsid w:val="009B064A"/>
    <w:rsid w:val="009C1790"/>
    <w:rsid w:val="009C463E"/>
    <w:rsid w:val="009C7505"/>
    <w:rsid w:val="009D3AC3"/>
    <w:rsid w:val="009E00D8"/>
    <w:rsid w:val="009E748C"/>
    <w:rsid w:val="00A03CF5"/>
    <w:rsid w:val="00A42E81"/>
    <w:rsid w:val="00A4782E"/>
    <w:rsid w:val="00A47F1F"/>
    <w:rsid w:val="00A51C4E"/>
    <w:rsid w:val="00A5318C"/>
    <w:rsid w:val="00A56702"/>
    <w:rsid w:val="00A615E5"/>
    <w:rsid w:val="00A70983"/>
    <w:rsid w:val="00A84B71"/>
    <w:rsid w:val="00A87E30"/>
    <w:rsid w:val="00A93A0E"/>
    <w:rsid w:val="00A95498"/>
    <w:rsid w:val="00AB2065"/>
    <w:rsid w:val="00AB3DFF"/>
    <w:rsid w:val="00AB42C2"/>
    <w:rsid w:val="00AB6BD9"/>
    <w:rsid w:val="00AC3481"/>
    <w:rsid w:val="00AE51E4"/>
    <w:rsid w:val="00B06384"/>
    <w:rsid w:val="00B0762E"/>
    <w:rsid w:val="00B13DDE"/>
    <w:rsid w:val="00B25CFE"/>
    <w:rsid w:val="00B36735"/>
    <w:rsid w:val="00B36A1E"/>
    <w:rsid w:val="00B37A45"/>
    <w:rsid w:val="00B45007"/>
    <w:rsid w:val="00B463D5"/>
    <w:rsid w:val="00B56803"/>
    <w:rsid w:val="00B65025"/>
    <w:rsid w:val="00B66D81"/>
    <w:rsid w:val="00B675FF"/>
    <w:rsid w:val="00B67771"/>
    <w:rsid w:val="00B722DC"/>
    <w:rsid w:val="00B861E3"/>
    <w:rsid w:val="00B91002"/>
    <w:rsid w:val="00B93B58"/>
    <w:rsid w:val="00BB5CC5"/>
    <w:rsid w:val="00BB7DE5"/>
    <w:rsid w:val="00BC0169"/>
    <w:rsid w:val="00BD2E91"/>
    <w:rsid w:val="00BF4E73"/>
    <w:rsid w:val="00BF68D5"/>
    <w:rsid w:val="00C00619"/>
    <w:rsid w:val="00C05721"/>
    <w:rsid w:val="00C11318"/>
    <w:rsid w:val="00C1151D"/>
    <w:rsid w:val="00C22010"/>
    <w:rsid w:val="00C27D1F"/>
    <w:rsid w:val="00C33C77"/>
    <w:rsid w:val="00C3639C"/>
    <w:rsid w:val="00C369E8"/>
    <w:rsid w:val="00C63CC2"/>
    <w:rsid w:val="00C67C92"/>
    <w:rsid w:val="00C7565E"/>
    <w:rsid w:val="00C75E55"/>
    <w:rsid w:val="00C77CDE"/>
    <w:rsid w:val="00C86CCF"/>
    <w:rsid w:val="00C9043C"/>
    <w:rsid w:val="00C91920"/>
    <w:rsid w:val="00C9516B"/>
    <w:rsid w:val="00CA1516"/>
    <w:rsid w:val="00CA2567"/>
    <w:rsid w:val="00CA2D10"/>
    <w:rsid w:val="00CB20CD"/>
    <w:rsid w:val="00CB23C6"/>
    <w:rsid w:val="00CB2C15"/>
    <w:rsid w:val="00CB7473"/>
    <w:rsid w:val="00CC5974"/>
    <w:rsid w:val="00CD06AB"/>
    <w:rsid w:val="00CD1770"/>
    <w:rsid w:val="00CD5F34"/>
    <w:rsid w:val="00CD65C5"/>
    <w:rsid w:val="00D03781"/>
    <w:rsid w:val="00D03DF3"/>
    <w:rsid w:val="00D05C7B"/>
    <w:rsid w:val="00D076D3"/>
    <w:rsid w:val="00D27398"/>
    <w:rsid w:val="00D51563"/>
    <w:rsid w:val="00D519B9"/>
    <w:rsid w:val="00D52F7A"/>
    <w:rsid w:val="00D550A3"/>
    <w:rsid w:val="00D56BC5"/>
    <w:rsid w:val="00D571A3"/>
    <w:rsid w:val="00D57D2F"/>
    <w:rsid w:val="00D7080E"/>
    <w:rsid w:val="00D72580"/>
    <w:rsid w:val="00D732D3"/>
    <w:rsid w:val="00D82C76"/>
    <w:rsid w:val="00D8443A"/>
    <w:rsid w:val="00D90DB8"/>
    <w:rsid w:val="00D93F01"/>
    <w:rsid w:val="00D9530B"/>
    <w:rsid w:val="00DA3200"/>
    <w:rsid w:val="00DA6978"/>
    <w:rsid w:val="00DB5EC5"/>
    <w:rsid w:val="00DC1178"/>
    <w:rsid w:val="00DC1E23"/>
    <w:rsid w:val="00DC711D"/>
    <w:rsid w:val="00DD31AC"/>
    <w:rsid w:val="00DD734A"/>
    <w:rsid w:val="00DE036A"/>
    <w:rsid w:val="00DE721D"/>
    <w:rsid w:val="00DF0860"/>
    <w:rsid w:val="00E03C74"/>
    <w:rsid w:val="00E045E4"/>
    <w:rsid w:val="00E064E0"/>
    <w:rsid w:val="00E207E0"/>
    <w:rsid w:val="00E3114C"/>
    <w:rsid w:val="00E33B48"/>
    <w:rsid w:val="00E33F3E"/>
    <w:rsid w:val="00E4063E"/>
    <w:rsid w:val="00E5558B"/>
    <w:rsid w:val="00E715EB"/>
    <w:rsid w:val="00E7299A"/>
    <w:rsid w:val="00E76F6D"/>
    <w:rsid w:val="00E84238"/>
    <w:rsid w:val="00E86A33"/>
    <w:rsid w:val="00E943A6"/>
    <w:rsid w:val="00E96C9D"/>
    <w:rsid w:val="00EA0C29"/>
    <w:rsid w:val="00EA0E0C"/>
    <w:rsid w:val="00EB0E9E"/>
    <w:rsid w:val="00EB79EF"/>
    <w:rsid w:val="00EC7707"/>
    <w:rsid w:val="00ED039B"/>
    <w:rsid w:val="00ED3057"/>
    <w:rsid w:val="00F2122C"/>
    <w:rsid w:val="00F25E14"/>
    <w:rsid w:val="00F366B5"/>
    <w:rsid w:val="00F440A3"/>
    <w:rsid w:val="00F47345"/>
    <w:rsid w:val="00F56D9D"/>
    <w:rsid w:val="00F57EB8"/>
    <w:rsid w:val="00F628E2"/>
    <w:rsid w:val="00F74178"/>
    <w:rsid w:val="00F87395"/>
    <w:rsid w:val="00F933DC"/>
    <w:rsid w:val="00F97659"/>
    <w:rsid w:val="00FA0133"/>
    <w:rsid w:val="00FA7D3A"/>
    <w:rsid w:val="00FB078E"/>
    <w:rsid w:val="00FB36D8"/>
    <w:rsid w:val="00FB5C66"/>
    <w:rsid w:val="00FC70EE"/>
    <w:rsid w:val="00FD419A"/>
    <w:rsid w:val="00FE1F68"/>
    <w:rsid w:val="00FE62F2"/>
    <w:rsid w:val="00FF193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614C"/>
  <w15:docId w15:val="{3670869B-5945-41EC-A8ED-D2C3F7E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A6"/>
    <w:rPr>
      <w:color w:val="0563C1" w:themeColor="hyperlink"/>
      <w:u w:val="single"/>
    </w:rPr>
  </w:style>
  <w:style w:type="paragraph" w:styleId="BalloonText">
    <w:name w:val="Balloon Text"/>
    <w:basedOn w:val="Normal"/>
    <w:link w:val="BalloonTextChar"/>
    <w:uiPriority w:val="99"/>
    <w:semiHidden/>
    <w:unhideWhenUsed/>
    <w:rsid w:val="00A7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83"/>
    <w:rPr>
      <w:rFonts w:ascii="Segoe UI" w:hAnsi="Segoe UI" w:cs="Segoe UI"/>
      <w:sz w:val="18"/>
      <w:szCs w:val="18"/>
    </w:rPr>
  </w:style>
  <w:style w:type="table" w:styleId="TableGrid">
    <w:name w:val="Table Grid"/>
    <w:basedOn w:val="TableNormal"/>
    <w:uiPriority w:val="39"/>
    <w:rsid w:val="00E7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54"/>
  </w:style>
  <w:style w:type="paragraph" w:styleId="Footer">
    <w:name w:val="footer"/>
    <w:basedOn w:val="Normal"/>
    <w:link w:val="FooterChar"/>
    <w:uiPriority w:val="99"/>
    <w:unhideWhenUsed/>
    <w:rsid w:val="005A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54"/>
  </w:style>
  <w:style w:type="paragraph" w:styleId="ListParagraph">
    <w:name w:val="List Paragraph"/>
    <w:basedOn w:val="Normal"/>
    <w:uiPriority w:val="34"/>
    <w:qFormat/>
    <w:rsid w:val="00127AE0"/>
    <w:pPr>
      <w:ind w:left="720"/>
      <w:contextualSpacing/>
    </w:pPr>
  </w:style>
  <w:style w:type="paragraph" w:styleId="NoSpacing">
    <w:name w:val="No Spacing"/>
    <w:uiPriority w:val="1"/>
    <w:qFormat/>
    <w:rsid w:val="000D72BE"/>
    <w:pPr>
      <w:spacing w:after="0" w:line="240" w:lineRule="auto"/>
    </w:pPr>
  </w:style>
  <w:style w:type="character" w:styleId="PlaceholderText">
    <w:name w:val="Placeholder Text"/>
    <w:basedOn w:val="DefaultParagraphFont"/>
    <w:uiPriority w:val="99"/>
    <w:semiHidden/>
    <w:rsid w:val="00A61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EA8E-90AA-4BE8-A58B-8C3FADD7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Bempong</dc:creator>
  <cp:keywords/>
  <dc:description/>
  <cp:lastModifiedBy>Saeyeon Roh</cp:lastModifiedBy>
  <cp:revision>5</cp:revision>
  <cp:lastPrinted>2018-06-20T10:27:00Z</cp:lastPrinted>
  <dcterms:created xsi:type="dcterms:W3CDTF">2018-08-03T00:26:00Z</dcterms:created>
  <dcterms:modified xsi:type="dcterms:W3CDTF">2018-08-03T08:48:00Z</dcterms:modified>
</cp:coreProperties>
</file>