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0F" w:rsidRPr="009A7C0F" w:rsidRDefault="009A7C0F" w:rsidP="00CA4D04">
      <w:pPr>
        <w:adjustRightInd w:val="0"/>
        <w:ind w:right="48"/>
        <w:jc w:val="both"/>
        <w:rPr>
          <w:b/>
          <w:caps/>
          <w:sz w:val="28"/>
          <w:szCs w:val="28"/>
        </w:rPr>
      </w:pPr>
      <w:r w:rsidRPr="009A7C0F">
        <w:rPr>
          <w:b/>
          <w:caps/>
          <w:sz w:val="28"/>
          <w:szCs w:val="28"/>
        </w:rPr>
        <w:t>Measuring the egyptian container ports' effeciecny: A FUZZY ahp framework</w:t>
      </w:r>
    </w:p>
    <w:p w:rsidR="009A7C0F" w:rsidRPr="009A7C0F" w:rsidRDefault="009A7C0F" w:rsidP="00CA4D04">
      <w:pPr>
        <w:pStyle w:val="Paragraph"/>
        <w:ind w:right="48"/>
        <w:rPr>
          <w:rFonts w:ascii="Calibri" w:hAnsi="Calibri" w:cs="Calibri"/>
          <w:sz w:val="22"/>
          <w:szCs w:val="22"/>
        </w:rPr>
      </w:pPr>
    </w:p>
    <w:p w:rsidR="009A7C0F" w:rsidRPr="009A7C0F" w:rsidRDefault="009A7C0F" w:rsidP="00CA4D04">
      <w:pPr>
        <w:tabs>
          <w:tab w:val="left" w:pos="90"/>
        </w:tabs>
        <w:ind w:right="48"/>
        <w:jc w:val="both"/>
        <w:rPr>
          <w:b/>
          <w:bCs/>
          <w:i/>
          <w:iCs/>
          <w:color w:val="000000"/>
          <w:vertAlign w:val="superscript"/>
        </w:rPr>
      </w:pPr>
      <w:r w:rsidRPr="009A7C0F">
        <w:rPr>
          <w:b/>
          <w:bCs/>
          <w:i/>
          <w:iCs/>
          <w:color w:val="000000"/>
        </w:rPr>
        <w:t>Ahmed A. Ismail</w:t>
      </w:r>
      <w:r w:rsidRPr="009A7C0F">
        <w:rPr>
          <w:b/>
          <w:bCs/>
          <w:i/>
          <w:iCs/>
          <w:color w:val="000000"/>
          <w:vertAlign w:val="superscript"/>
        </w:rPr>
        <w:t>1</w:t>
      </w:r>
      <w:r w:rsidRPr="009A7C0F">
        <w:rPr>
          <w:b/>
          <w:bCs/>
          <w:i/>
          <w:iCs/>
          <w:color w:val="000000"/>
        </w:rPr>
        <w:t xml:space="preserve"> and Sara H. Elgazzar</w:t>
      </w:r>
      <w:r w:rsidRPr="009A7C0F">
        <w:rPr>
          <w:b/>
          <w:bCs/>
          <w:i/>
          <w:iCs/>
          <w:color w:val="000000"/>
          <w:vertAlign w:val="superscript"/>
        </w:rPr>
        <w:t>2</w:t>
      </w:r>
    </w:p>
    <w:p w:rsidR="009A7C0F" w:rsidRPr="009A7C0F" w:rsidRDefault="009A7C0F" w:rsidP="00CA4D04">
      <w:pPr>
        <w:pStyle w:val="Affiliation"/>
        <w:ind w:right="48"/>
        <w:jc w:val="both"/>
        <w:rPr>
          <w:rFonts w:ascii="Calibri" w:hAnsi="Calibri" w:cs="Calibri"/>
          <w:sz w:val="22"/>
          <w:szCs w:val="22"/>
        </w:rPr>
      </w:pPr>
      <w:r w:rsidRPr="009A7C0F">
        <w:rPr>
          <w:rFonts w:ascii="Calibri" w:hAnsi="Calibri" w:cs="Calibri"/>
          <w:sz w:val="22"/>
          <w:szCs w:val="22"/>
          <w:vertAlign w:val="superscript"/>
        </w:rPr>
        <w:t>1</w:t>
      </w:r>
      <w:r w:rsidRPr="009A7C0F">
        <w:rPr>
          <w:rFonts w:ascii="Calibri" w:hAnsi="Calibri" w:cs="Calibri"/>
          <w:sz w:val="22"/>
          <w:szCs w:val="22"/>
        </w:rPr>
        <w:t>Maritime Postgraduate Studies Institutes, Arab Academy for Science, Technology and Maritime Transport, Alexandria - Egypt</w:t>
      </w:r>
    </w:p>
    <w:p w:rsidR="009A7C0F" w:rsidRPr="009A7C0F" w:rsidRDefault="009A7C0F" w:rsidP="00CA4D04">
      <w:pPr>
        <w:pStyle w:val="Affiliation"/>
        <w:ind w:right="48"/>
        <w:jc w:val="both"/>
        <w:rPr>
          <w:rFonts w:ascii="Calibri" w:hAnsi="Calibri" w:cs="Calibri"/>
          <w:sz w:val="22"/>
          <w:szCs w:val="22"/>
        </w:rPr>
      </w:pPr>
      <w:r w:rsidRPr="009A7C0F">
        <w:rPr>
          <w:rFonts w:ascii="Calibri" w:hAnsi="Calibri" w:cs="Calibri"/>
          <w:sz w:val="22"/>
          <w:szCs w:val="22"/>
        </w:rPr>
        <w:t xml:space="preserve"> </w:t>
      </w:r>
      <w:r w:rsidRPr="009A7C0F">
        <w:rPr>
          <w:rFonts w:ascii="Calibri" w:hAnsi="Calibri" w:cs="Calibri"/>
          <w:i w:val="0"/>
          <w:sz w:val="22"/>
          <w:szCs w:val="22"/>
          <w:vertAlign w:val="superscript"/>
        </w:rPr>
        <w:t>2</w:t>
      </w:r>
      <w:r w:rsidRPr="009A7C0F">
        <w:rPr>
          <w:rFonts w:ascii="Calibri" w:hAnsi="Calibri" w:cs="Calibri"/>
          <w:sz w:val="22"/>
          <w:szCs w:val="22"/>
        </w:rPr>
        <w:t>College of International Transport and Logistics, Arab Academy for Science, Technology and Maritime Transport, Alexandria - Egypt</w:t>
      </w:r>
    </w:p>
    <w:p w:rsidR="006D181B" w:rsidRPr="009A7C0F" w:rsidRDefault="006D181B" w:rsidP="00CA4D04">
      <w:pPr>
        <w:pStyle w:val="BodyText"/>
        <w:spacing w:before="11"/>
        <w:ind w:left="1276" w:right="1288"/>
        <w:rPr>
          <w:sz w:val="21"/>
          <w:lang w:val="en-GB"/>
        </w:rPr>
      </w:pPr>
    </w:p>
    <w:p w:rsidR="006D181B" w:rsidRPr="009A7C0F" w:rsidRDefault="00CA4D04" w:rsidP="004046B0">
      <w:pPr>
        <w:pStyle w:val="Heading2"/>
        <w:numPr>
          <w:ilvl w:val="0"/>
          <w:numId w:val="4"/>
        </w:numPr>
        <w:ind w:left="284" w:right="1288" w:hanging="284"/>
        <w:jc w:val="left"/>
      </w:pPr>
      <w:r w:rsidRPr="009A7C0F">
        <w:rPr>
          <w:u w:val="single"/>
        </w:rPr>
        <w:t>Introduction</w:t>
      </w:r>
    </w:p>
    <w:p w:rsidR="006D181B" w:rsidRPr="009A7C0F" w:rsidRDefault="00CA4D04" w:rsidP="004046B0">
      <w:pPr>
        <w:pStyle w:val="BodyText"/>
        <w:ind w:right="48"/>
        <w:jc w:val="both"/>
      </w:pPr>
      <w:r w:rsidRPr="009A7C0F">
        <w:t>Efficiency is a fundamental concept in the field of economics; the concept is basically concerned with  the economic use of frim resources for production (Lu and Wang, 2017). Moreover, it is an important contributor to a nation's international competitiveness (Elsayeh, 2015). Merk and Dang (2012) asserted that port efficiency is an important indicator of port performance; more efficient ports mean lower transportation</w:t>
      </w:r>
      <w:r w:rsidRPr="009A7C0F">
        <w:rPr>
          <w:spacing w:val="-1"/>
        </w:rPr>
        <w:t xml:space="preserve"> </w:t>
      </w:r>
      <w:r w:rsidRPr="009A7C0F">
        <w:t>costs.</w:t>
      </w:r>
    </w:p>
    <w:p w:rsidR="006D181B" w:rsidRPr="004046B0" w:rsidRDefault="006D181B" w:rsidP="004046B0">
      <w:pPr>
        <w:pStyle w:val="BodyText"/>
        <w:ind w:right="48"/>
        <w:rPr>
          <w:sz w:val="18"/>
        </w:rPr>
      </w:pPr>
    </w:p>
    <w:p w:rsidR="006D181B" w:rsidRPr="009A7C0F" w:rsidRDefault="00CA4D04" w:rsidP="004046B0">
      <w:pPr>
        <w:pStyle w:val="BodyText"/>
        <w:ind w:right="48"/>
        <w:jc w:val="both"/>
      </w:pPr>
      <w:r w:rsidRPr="009A7C0F">
        <w:t>There is downward pressure on efficiency and productivity in the Egyptian container ports due to a utilization rate of Egyptian container ports 73% (Maersk, 2015), which exceeds the maximum international accepted percent (70%) (Haralambides, 2012). Therefore, it will be important to measure the level of efficiency and quality of service provided in the Egyptian container ports, in order to define obstacles and improve their performance and productivity.</w:t>
      </w:r>
    </w:p>
    <w:p w:rsidR="006D181B" w:rsidRPr="004046B0" w:rsidRDefault="006D181B" w:rsidP="004046B0">
      <w:pPr>
        <w:pStyle w:val="BodyText"/>
        <w:ind w:right="48"/>
        <w:rPr>
          <w:sz w:val="18"/>
        </w:rPr>
      </w:pPr>
    </w:p>
    <w:p w:rsidR="006D181B" w:rsidRPr="009A7C0F" w:rsidRDefault="00CA4D04" w:rsidP="004046B0">
      <w:pPr>
        <w:pStyle w:val="BodyText"/>
        <w:ind w:right="48"/>
        <w:jc w:val="both"/>
      </w:pPr>
      <w:r w:rsidRPr="009A7C0F">
        <w:t>The purpose of this research is to propose a performance measurement framework to assess the level of efficiency of the container ports using Fuzzy Analytic Hierarchy Process (FAHP) approach. To demonstrate the applicability of the proposed framework, an empirical study on the Egyptian container ports was conducted for the period from 2012 to 2016. This framework will help port managers to evaluate the level of efficiency in container ports and define areas that need improvement. The paper starts with literature review in section two, section three will propose the framework, then section four will illustrate the empirical study, and finally conclusion will be presented in section five.</w:t>
      </w:r>
    </w:p>
    <w:p w:rsidR="006D181B" w:rsidRPr="009A7C0F" w:rsidRDefault="006D181B" w:rsidP="00CA4D04">
      <w:pPr>
        <w:pStyle w:val="BodyText"/>
        <w:ind w:left="1276" w:right="1288"/>
      </w:pPr>
    </w:p>
    <w:p w:rsidR="006D181B" w:rsidRPr="009A7C0F" w:rsidRDefault="00CA4D04" w:rsidP="00CA4D04">
      <w:pPr>
        <w:pStyle w:val="Heading2"/>
        <w:numPr>
          <w:ilvl w:val="0"/>
          <w:numId w:val="4"/>
        </w:numPr>
        <w:tabs>
          <w:tab w:val="left" w:pos="0"/>
        </w:tabs>
        <w:ind w:left="284" w:right="48" w:hanging="284"/>
        <w:jc w:val="left"/>
      </w:pPr>
      <w:r w:rsidRPr="009A7C0F">
        <w:rPr>
          <w:u w:val="single"/>
        </w:rPr>
        <w:t>Literature</w:t>
      </w:r>
      <w:r w:rsidRPr="009A7C0F">
        <w:rPr>
          <w:spacing w:val="-1"/>
          <w:u w:val="single"/>
        </w:rPr>
        <w:t xml:space="preserve"> </w:t>
      </w:r>
      <w:r w:rsidRPr="009A7C0F">
        <w:rPr>
          <w:u w:val="single"/>
        </w:rPr>
        <w:t>review</w:t>
      </w:r>
    </w:p>
    <w:p w:rsidR="006D181B" w:rsidRPr="009A7C0F" w:rsidRDefault="00CA4D04" w:rsidP="00CA4D04">
      <w:pPr>
        <w:pStyle w:val="BodyText"/>
        <w:spacing w:before="1"/>
        <w:ind w:right="48"/>
        <w:jc w:val="both"/>
      </w:pPr>
      <w:r w:rsidRPr="009A7C0F">
        <w:t>Monitoring a port’s performance in an ever-changing environment is crucial for measuring its efficiency levels as well as its competitiveness (Jimenez et al., 2013). Efficiency is one of the two most important concepts in measuring performance in container ports. Recently, the efficiency of container ports has become more important since it is one of the key factors of survival in the current competitive business environment in the shipping industry and a way to reduce maritime cost. Moreover, container ports are vital to the efficiency of the whole global logistics chain since they act as the connecting link between different transportation modes in the global logistics chain (Wang et al., 2005; Elsayeh, 2015).</w:t>
      </w:r>
    </w:p>
    <w:p w:rsidR="006D181B" w:rsidRPr="009A7C0F" w:rsidRDefault="006D181B" w:rsidP="00CA4D04">
      <w:pPr>
        <w:pStyle w:val="BodyText"/>
        <w:spacing w:before="11"/>
        <w:ind w:right="48"/>
        <w:rPr>
          <w:sz w:val="21"/>
        </w:rPr>
      </w:pPr>
    </w:p>
    <w:p w:rsidR="006D181B" w:rsidRPr="009A7C0F" w:rsidRDefault="00CA4D04" w:rsidP="00CA4D04">
      <w:pPr>
        <w:pStyle w:val="BodyText"/>
        <w:ind w:right="48"/>
        <w:jc w:val="both"/>
      </w:pPr>
      <w:r w:rsidRPr="009A7C0F">
        <w:t xml:space="preserve">Different approaches and techniques have been used to measure, assess, evaluate and benchmark the port efficiency from different perspectives depending on the aim, objective or the hypotheses of the study. Stochastic Frontier Analysis (SFA) technique was used by (Liu, 1995; Cullinane and Song, 2006; Sarriera et al., 2013); Free Disposal Hull (FDH) technique was used by (Cullinane et al., 2005; Herrera and Pang, 2008); Data Envelopment Analysis (DEA) technique was used by (Poitras et al., 1996; Tongzon, 2001; Al-Eraqi et al., 2008; Merk and Dang, 2012; </w:t>
      </w:r>
      <w:hyperlink r:id="rId7">
        <w:r w:rsidRPr="009A7C0F">
          <w:t xml:space="preserve">Kutin </w:t>
        </w:r>
      </w:hyperlink>
      <w:r w:rsidRPr="009A7C0F">
        <w:t>et al., 2017); while other researchers have used integrated approaches combing several techniques such as DEA, SFA, FDH and Malmquist Productivity Index (MPI) (Cullinane et al., 2002; Wang et al., 2003; Cullinane et al., 2005; Wanke et al., 2011; Ding et al., 2015; Serebrisky et al., 2016; Hlali, 2018).</w:t>
      </w:r>
    </w:p>
    <w:p w:rsidR="006D181B" w:rsidRPr="009A7C0F" w:rsidRDefault="006D181B" w:rsidP="00CA4D04">
      <w:pPr>
        <w:pStyle w:val="BodyText"/>
        <w:spacing w:before="6"/>
        <w:ind w:left="1276" w:right="1288"/>
        <w:rPr>
          <w:sz w:val="12"/>
        </w:rPr>
      </w:pPr>
    </w:p>
    <w:p w:rsidR="006D181B" w:rsidRPr="009A7C0F" w:rsidRDefault="00CA4D04" w:rsidP="004046B0">
      <w:pPr>
        <w:pStyle w:val="BodyText"/>
        <w:ind w:right="48"/>
        <w:jc w:val="both"/>
      </w:pPr>
      <w:r w:rsidRPr="009A7C0F">
        <w:t>The Analytic Hierarchy Process (AHP) approach has not been utilized by previous studies to assess, evaluate or rank the performance of container ports (Al-Harbi, 2001; Cabała, 2010; Li and Yang, 2010; Sumi and Kabir, 2010; Elgazzar et al., 2010; Kousalya et al., 2012; Muhisn et al., 2015). AHP is a decision making technique for establishing priorities in multi-criteria decision making (Al-Harbi, 2001). AHP is most widely used technique in decision making due to its promising accuracy, simplicity, ability to handle both qualitative and quantitative criteria or tangible and intangible aspects, also, its ability to measure the consistency of judgment of respondents (Muhisn et al.,</w:t>
      </w:r>
      <w:r w:rsidRPr="009A7C0F">
        <w:rPr>
          <w:spacing w:val="-8"/>
        </w:rPr>
        <w:t xml:space="preserve"> </w:t>
      </w:r>
      <w:r w:rsidRPr="009A7C0F">
        <w:t>2015).</w:t>
      </w:r>
    </w:p>
    <w:p w:rsidR="006D181B" w:rsidRPr="009A7C0F" w:rsidRDefault="006D181B" w:rsidP="004046B0">
      <w:pPr>
        <w:pStyle w:val="BodyText"/>
        <w:ind w:right="48"/>
      </w:pPr>
    </w:p>
    <w:p w:rsidR="006D181B" w:rsidRPr="009A7C0F" w:rsidRDefault="00CA4D04" w:rsidP="004046B0">
      <w:pPr>
        <w:pStyle w:val="BodyText"/>
        <w:ind w:right="48"/>
        <w:jc w:val="both"/>
      </w:pPr>
      <w:r w:rsidRPr="009A7C0F">
        <w:t>Using FAHP as a multi criteria decision making technique can help container ports’ managers to enhance ports’ technical efficiency through identifying the relative importance weight of each dimension of efficiency and define dimensions that are working well and those need improvements. There is no previous research used the FAHP technique to rank the Egyptian container ports. Moreover, limited studies have been conducted to measure the efficiency of the Egyptian container ports (Elsayeh, 2015). In this context, next section will propose a framework to measure the efficiency of container ports using FAHP approach, followed by an empirical study on the Egyptian container ports.</w:t>
      </w:r>
    </w:p>
    <w:p w:rsidR="006D181B" w:rsidRPr="009A7C0F" w:rsidRDefault="006D181B" w:rsidP="004046B0">
      <w:pPr>
        <w:pStyle w:val="BodyText"/>
        <w:ind w:left="1276" w:right="1288"/>
      </w:pPr>
    </w:p>
    <w:p w:rsidR="006D181B" w:rsidRPr="009A7C0F" w:rsidRDefault="00CA4D04" w:rsidP="004046B0">
      <w:pPr>
        <w:pStyle w:val="Heading2"/>
        <w:numPr>
          <w:ilvl w:val="0"/>
          <w:numId w:val="4"/>
        </w:numPr>
        <w:ind w:left="284" w:hanging="284"/>
        <w:jc w:val="left"/>
      </w:pPr>
      <w:r w:rsidRPr="009A7C0F">
        <w:rPr>
          <w:u w:val="single"/>
        </w:rPr>
        <w:t>The proposed</w:t>
      </w:r>
      <w:r w:rsidRPr="009A7C0F">
        <w:rPr>
          <w:spacing w:val="-1"/>
          <w:u w:val="single"/>
        </w:rPr>
        <w:t xml:space="preserve"> </w:t>
      </w:r>
      <w:r w:rsidRPr="009A7C0F">
        <w:rPr>
          <w:u w:val="single"/>
        </w:rPr>
        <w:t>framework</w:t>
      </w:r>
    </w:p>
    <w:p w:rsidR="006D181B" w:rsidRPr="009A7C0F" w:rsidRDefault="00CA4D04" w:rsidP="004046B0">
      <w:pPr>
        <w:pStyle w:val="BodyText"/>
        <w:ind w:right="48"/>
        <w:jc w:val="both"/>
      </w:pPr>
      <w:r w:rsidRPr="009A7C0F">
        <w:t>The paper proposes a framework to rank port efficiency using FAHP technique based on the following four steps:</w:t>
      </w:r>
    </w:p>
    <w:p w:rsidR="006D181B" w:rsidRPr="009A7C0F" w:rsidRDefault="006D181B" w:rsidP="004046B0">
      <w:pPr>
        <w:pStyle w:val="BodyText"/>
        <w:ind w:right="48"/>
      </w:pPr>
    </w:p>
    <w:p w:rsidR="006D181B" w:rsidRPr="009A7C0F" w:rsidRDefault="00CA4D04" w:rsidP="004046B0">
      <w:pPr>
        <w:pStyle w:val="Heading2"/>
        <w:ind w:left="0" w:right="48" w:firstLine="0"/>
      </w:pPr>
      <w:r w:rsidRPr="009A7C0F">
        <w:t>Step one: Identifying the criteria used to evaluate the level of efficiency in a container port</w:t>
      </w:r>
    </w:p>
    <w:p w:rsidR="006D181B" w:rsidRPr="009A7C0F" w:rsidRDefault="00CA4D04" w:rsidP="004046B0">
      <w:pPr>
        <w:pStyle w:val="BodyText"/>
        <w:ind w:right="48"/>
        <w:jc w:val="both"/>
      </w:pPr>
      <w:r w:rsidRPr="009A7C0F">
        <w:t>A review of previous studies was conducted to define main criteria reflect the level of container port efficiency. The review concluded with five main criteria to measure the container port efficiency; namely: storage capacity, terminal area, berth length, draught and handling equipment (Tongzon, 2001; Cullinane et al., 2005; Cullinane and Wang, 2010; Nwanosike, 2014; Elsayeh,</w:t>
      </w:r>
      <w:r w:rsidRPr="009A7C0F">
        <w:rPr>
          <w:spacing w:val="-16"/>
        </w:rPr>
        <w:t xml:space="preserve"> </w:t>
      </w:r>
      <w:r w:rsidRPr="009A7C0F">
        <w:t>2015).</w:t>
      </w:r>
    </w:p>
    <w:p w:rsidR="006D181B" w:rsidRPr="009A7C0F" w:rsidRDefault="006D181B" w:rsidP="00CA4D04">
      <w:pPr>
        <w:pStyle w:val="BodyText"/>
        <w:spacing w:before="11"/>
        <w:ind w:right="48"/>
        <w:rPr>
          <w:sz w:val="21"/>
        </w:rPr>
      </w:pPr>
    </w:p>
    <w:p w:rsidR="006D181B" w:rsidRPr="009A7C0F" w:rsidRDefault="00CA4D04" w:rsidP="00CA4D04">
      <w:pPr>
        <w:pStyle w:val="Heading2"/>
        <w:ind w:left="0" w:right="48" w:firstLine="0"/>
      </w:pPr>
      <w:r w:rsidRPr="009A7C0F">
        <w:t>Step two: Developing a FAHP survey to identify the relative importance of the selected criteria</w:t>
      </w:r>
    </w:p>
    <w:p w:rsidR="006D181B" w:rsidRPr="009A7C0F" w:rsidRDefault="00CA4D04" w:rsidP="00CA4D04">
      <w:pPr>
        <w:pStyle w:val="BodyText"/>
        <w:ind w:right="48"/>
        <w:jc w:val="both"/>
      </w:pPr>
      <w:r w:rsidRPr="009A7C0F">
        <w:t>FAHP survey was developed to determine the relative importance weight of the efficiency criteria in a container port based on a pairwise comparison scale ranging from 1 to 9, where 1 denotes equally important, 3 denotes moderately more important, 5 denotes strongly more important, 7 denotes very strongly more important, 9 denotes extremely important (Al-Harbi, 2001; Muhisn et al., 2015). Table 1 illustrates the survey form to prioritise the criteria of a container port's efficiency.</w:t>
      </w:r>
    </w:p>
    <w:p w:rsidR="006D181B" w:rsidRPr="009A7C0F" w:rsidRDefault="006D181B" w:rsidP="00CA4D04">
      <w:pPr>
        <w:pStyle w:val="BodyText"/>
        <w:ind w:right="48"/>
      </w:pPr>
    </w:p>
    <w:p w:rsidR="006D181B" w:rsidRPr="009A7C0F" w:rsidRDefault="00CA4D04" w:rsidP="004046B0">
      <w:pPr>
        <w:pStyle w:val="BodyText"/>
        <w:ind w:right="48"/>
        <w:jc w:val="both"/>
      </w:pPr>
      <w:r w:rsidRPr="009A7C0F">
        <w:t>To determine the relative importance weight (W) of the selected criteria, survey will be distributed to group of experts in the field (port authority, shipping companies, shipping agencies, academic experts and other decision-makers in the field).</w:t>
      </w:r>
    </w:p>
    <w:p w:rsidR="006D181B" w:rsidRDefault="006D181B"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p w:rsidR="009A7C0F" w:rsidRDefault="009A7C0F" w:rsidP="009A7C0F">
      <w:pPr>
        <w:ind w:left="1276" w:right="1288"/>
        <w:jc w:val="both"/>
      </w:pPr>
    </w:p>
    <w:tbl>
      <w:tblPr>
        <w:tblW w:w="1011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328"/>
        <w:gridCol w:w="467"/>
        <w:gridCol w:w="534"/>
        <w:gridCol w:w="533"/>
        <w:gridCol w:w="682"/>
        <w:gridCol w:w="882"/>
        <w:gridCol w:w="708"/>
        <w:gridCol w:w="509"/>
        <w:gridCol w:w="508"/>
        <w:gridCol w:w="673"/>
        <w:gridCol w:w="2291"/>
      </w:tblGrid>
      <w:tr w:rsidR="00CA4D04" w:rsidTr="00CA4D04">
        <w:trPr>
          <w:trHeight w:val="537"/>
          <w:jc w:val="center"/>
        </w:trPr>
        <w:tc>
          <w:tcPr>
            <w:tcW w:w="2328" w:type="dxa"/>
            <w:shd w:val="clear" w:color="auto" w:fill="DBDBDB"/>
          </w:tcPr>
          <w:p w:rsidR="00CA4D04" w:rsidRDefault="00CA4D04" w:rsidP="00CA4D04">
            <w:pPr>
              <w:pStyle w:val="TableParagraph"/>
              <w:spacing w:line="268" w:lineRule="exact"/>
              <w:ind w:left="463"/>
              <w:jc w:val="left"/>
              <w:rPr>
                <w:b/>
                <w:i/>
              </w:rPr>
            </w:pPr>
            <w:r>
              <w:rPr>
                <w:b/>
                <w:i/>
                <w:u w:val="single"/>
              </w:rPr>
              <w:lastRenderedPageBreak/>
              <w:t>With respect to</w:t>
            </w:r>
          </w:p>
          <w:p w:rsidR="00CA4D04" w:rsidRDefault="00CA4D04" w:rsidP="00CA4D04">
            <w:pPr>
              <w:pStyle w:val="TableParagraph"/>
              <w:spacing w:line="249" w:lineRule="exact"/>
              <w:ind w:left="419"/>
              <w:jc w:val="left"/>
              <w:rPr>
                <w:b/>
                <w:i/>
              </w:rPr>
            </w:pPr>
            <w:r>
              <w:rPr>
                <w:b/>
                <w:i/>
                <w:u w:val="single"/>
              </w:rPr>
              <w:t>(Port efficiency )</w:t>
            </w:r>
          </w:p>
        </w:tc>
        <w:tc>
          <w:tcPr>
            <w:tcW w:w="5496" w:type="dxa"/>
            <w:gridSpan w:val="9"/>
            <w:shd w:val="clear" w:color="auto" w:fill="DBDBDB"/>
          </w:tcPr>
          <w:p w:rsidR="00CA4D04" w:rsidRDefault="00CA4D04" w:rsidP="00CA4D04">
            <w:pPr>
              <w:pStyle w:val="TableParagraph"/>
              <w:spacing w:line="268" w:lineRule="exact"/>
              <w:ind w:left="138" w:right="123"/>
              <w:rPr>
                <w:b/>
                <w:i/>
              </w:rPr>
            </w:pPr>
            <w:r>
              <w:rPr>
                <w:b/>
                <w:i/>
                <w:u w:val="single"/>
              </w:rPr>
              <w:t>Importance or preference of one factor over the frame of</w:t>
            </w:r>
          </w:p>
          <w:p w:rsidR="00CA4D04" w:rsidRDefault="00CA4D04" w:rsidP="00CA4D04">
            <w:pPr>
              <w:pStyle w:val="TableParagraph"/>
              <w:spacing w:line="249" w:lineRule="exact"/>
              <w:ind w:left="138" w:right="120"/>
              <w:rPr>
                <w:b/>
                <w:i/>
              </w:rPr>
            </w:pPr>
            <w:r>
              <w:rPr>
                <w:b/>
                <w:i/>
                <w:u w:val="single"/>
              </w:rPr>
              <w:t>discernment (Decision Alternatives D.A.’s)</w:t>
            </w:r>
          </w:p>
        </w:tc>
        <w:tc>
          <w:tcPr>
            <w:tcW w:w="2291" w:type="dxa"/>
            <w:shd w:val="clear" w:color="auto" w:fill="DBDBDB"/>
          </w:tcPr>
          <w:p w:rsidR="00CA4D04" w:rsidRDefault="00CA4D04" w:rsidP="00CA4D04">
            <w:pPr>
              <w:pStyle w:val="TableParagraph"/>
              <w:spacing w:line="240" w:lineRule="auto"/>
              <w:jc w:val="left"/>
              <w:rPr>
                <w:rFonts w:ascii="Times New Roman"/>
                <w:sz w:val="20"/>
              </w:rPr>
            </w:pPr>
          </w:p>
        </w:tc>
      </w:tr>
      <w:tr w:rsidR="00CA4D04" w:rsidTr="00CA4D04">
        <w:trPr>
          <w:trHeight w:val="2902"/>
          <w:jc w:val="center"/>
        </w:trPr>
        <w:tc>
          <w:tcPr>
            <w:tcW w:w="2328" w:type="dxa"/>
          </w:tcPr>
          <w:p w:rsidR="00CA4D04" w:rsidRDefault="00CA4D04" w:rsidP="00CA4D04">
            <w:pPr>
              <w:pStyle w:val="TableParagraph"/>
              <w:spacing w:line="240" w:lineRule="auto"/>
              <w:jc w:val="left"/>
              <w:rPr>
                <w:rFonts w:ascii="Times New Roman"/>
                <w:sz w:val="20"/>
              </w:rPr>
            </w:pPr>
          </w:p>
        </w:tc>
        <w:tc>
          <w:tcPr>
            <w:tcW w:w="5496" w:type="dxa"/>
            <w:gridSpan w:val="9"/>
            <w:textDirection w:val="btLr"/>
          </w:tcPr>
          <w:p w:rsidR="00CA4D04" w:rsidRDefault="00CA4D04" w:rsidP="00CA4D04">
            <w:pPr>
              <w:pStyle w:val="TableParagraph"/>
              <w:spacing w:before="109" w:line="573" w:lineRule="auto"/>
              <w:ind w:left="112" w:right="231"/>
              <w:jc w:val="left"/>
              <w:rPr>
                <w:b/>
                <w:sz w:val="18"/>
              </w:rPr>
            </w:pPr>
            <w:r>
              <w:rPr>
                <w:b/>
                <w:sz w:val="18"/>
              </w:rPr>
              <w:t>Absolutely more important (9) Demonstrably more important (7) Strongly more important (5) Slightly more important (3)</w:t>
            </w:r>
          </w:p>
          <w:p w:rsidR="00CA4D04" w:rsidRDefault="00CA4D04" w:rsidP="00CA4D04">
            <w:pPr>
              <w:pStyle w:val="TableParagraph"/>
              <w:spacing w:line="240" w:lineRule="auto"/>
              <w:jc w:val="left"/>
              <w:rPr>
                <w:sz w:val="18"/>
              </w:rPr>
            </w:pPr>
          </w:p>
          <w:p w:rsidR="00CA4D04" w:rsidRDefault="00CA4D04" w:rsidP="00CA4D04">
            <w:pPr>
              <w:pStyle w:val="TableParagraph"/>
              <w:spacing w:before="158" w:line="240" w:lineRule="auto"/>
              <w:ind w:left="112"/>
              <w:jc w:val="left"/>
              <w:rPr>
                <w:b/>
                <w:sz w:val="18"/>
              </w:rPr>
            </w:pPr>
            <w:r>
              <w:rPr>
                <w:b/>
                <w:sz w:val="18"/>
              </w:rPr>
              <w:t>Equally important (1)</w:t>
            </w:r>
          </w:p>
          <w:p w:rsidR="00CA4D04" w:rsidRDefault="00CA4D04" w:rsidP="00CA4D04">
            <w:pPr>
              <w:pStyle w:val="TableParagraph"/>
              <w:spacing w:line="240" w:lineRule="auto"/>
              <w:jc w:val="left"/>
              <w:rPr>
                <w:sz w:val="18"/>
              </w:rPr>
            </w:pPr>
          </w:p>
          <w:p w:rsidR="00CA4D04" w:rsidRDefault="00CA4D04" w:rsidP="00CA4D04">
            <w:pPr>
              <w:pStyle w:val="TableParagraph"/>
              <w:spacing w:before="4" w:line="240" w:lineRule="auto"/>
              <w:jc w:val="left"/>
              <w:rPr>
                <w:sz w:val="13"/>
              </w:rPr>
            </w:pPr>
          </w:p>
          <w:p w:rsidR="00CA4D04" w:rsidRDefault="00CA4D04" w:rsidP="00CA4D04">
            <w:pPr>
              <w:pStyle w:val="TableParagraph"/>
              <w:spacing w:line="520" w:lineRule="atLeast"/>
              <w:ind w:left="112" w:right="231"/>
              <w:jc w:val="left"/>
              <w:rPr>
                <w:b/>
                <w:sz w:val="18"/>
              </w:rPr>
            </w:pPr>
            <w:r>
              <w:rPr>
                <w:b/>
                <w:sz w:val="18"/>
              </w:rPr>
              <w:t>Slightly more important (3) Strongly more important (5) Demonstrably more important (7) Absolutely more important (9)</w:t>
            </w:r>
          </w:p>
        </w:tc>
        <w:tc>
          <w:tcPr>
            <w:tcW w:w="2291" w:type="dxa"/>
          </w:tcPr>
          <w:p w:rsidR="00CA4D04" w:rsidRDefault="00CA4D04" w:rsidP="00CA4D04">
            <w:pPr>
              <w:pStyle w:val="TableParagraph"/>
              <w:spacing w:line="240" w:lineRule="auto"/>
              <w:jc w:val="left"/>
              <w:rPr>
                <w:rFonts w:ascii="Times New Roman"/>
                <w:sz w:val="20"/>
              </w:rPr>
            </w:pPr>
          </w:p>
        </w:tc>
      </w:tr>
      <w:tr w:rsidR="00CA4D04" w:rsidTr="00CA4D04">
        <w:trPr>
          <w:trHeight w:val="268"/>
          <w:jc w:val="center"/>
        </w:trPr>
        <w:tc>
          <w:tcPr>
            <w:tcW w:w="2328" w:type="dxa"/>
            <w:vMerge w:val="restart"/>
          </w:tcPr>
          <w:p w:rsidR="00CA4D04" w:rsidRDefault="00CA4D04" w:rsidP="00CA4D04">
            <w:pPr>
              <w:pStyle w:val="TableParagraph"/>
              <w:spacing w:line="240" w:lineRule="auto"/>
              <w:jc w:val="left"/>
            </w:pPr>
          </w:p>
          <w:p w:rsidR="00CA4D04" w:rsidRDefault="00CA4D04" w:rsidP="00CA4D04">
            <w:pPr>
              <w:pStyle w:val="TableParagraph"/>
              <w:spacing w:before="148" w:line="240" w:lineRule="auto"/>
              <w:ind w:left="428"/>
              <w:jc w:val="left"/>
            </w:pPr>
            <w:r>
              <w:t>Storage capacity</w:t>
            </w: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8" w:right="196"/>
            </w:pPr>
            <w:r>
              <w:t>Terminal area</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9" w:right="196"/>
            </w:pPr>
            <w:r>
              <w:t>Berth length</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20" w:right="195"/>
            </w:pPr>
            <w:r>
              <w:t>Draught</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20" w:right="196"/>
            </w:pPr>
            <w:r>
              <w:t>Handling equipment</w:t>
            </w:r>
          </w:p>
        </w:tc>
      </w:tr>
      <w:tr w:rsidR="00CA4D04" w:rsidTr="00CA4D04">
        <w:trPr>
          <w:trHeight w:val="268"/>
          <w:jc w:val="center"/>
        </w:trPr>
        <w:tc>
          <w:tcPr>
            <w:tcW w:w="2328" w:type="dxa"/>
            <w:vMerge w:val="restart"/>
            <w:shd w:val="clear" w:color="auto" w:fill="D0CECE"/>
          </w:tcPr>
          <w:p w:rsidR="00CA4D04" w:rsidRDefault="00CA4D04" w:rsidP="00CA4D04">
            <w:pPr>
              <w:pStyle w:val="TableParagraph"/>
              <w:spacing w:line="240" w:lineRule="auto"/>
              <w:jc w:val="left"/>
            </w:pPr>
          </w:p>
          <w:p w:rsidR="00CA4D04" w:rsidRDefault="00CA4D04" w:rsidP="00CA4D04">
            <w:pPr>
              <w:pStyle w:val="TableParagraph"/>
              <w:spacing w:before="149" w:line="240" w:lineRule="auto"/>
              <w:ind w:left="544"/>
              <w:jc w:val="left"/>
            </w:pPr>
            <w:r>
              <w:t>Terminal area</w:t>
            </w:r>
          </w:p>
        </w:tc>
        <w:tc>
          <w:tcPr>
            <w:tcW w:w="467" w:type="dxa"/>
            <w:tcBorders>
              <w:right w:val="nil"/>
            </w:tcBorders>
            <w:shd w:val="clear" w:color="auto" w:fill="D0CECE"/>
          </w:tcPr>
          <w:p w:rsidR="00CA4D04" w:rsidRDefault="00CA4D04" w:rsidP="00CA4D04">
            <w:pPr>
              <w:pStyle w:val="TableParagraph"/>
              <w:ind w:right="33"/>
            </w:pPr>
            <w:r>
              <w:rPr>
                <w:w w:val="99"/>
              </w:rPr>
              <w:t>9</w:t>
            </w:r>
          </w:p>
        </w:tc>
        <w:tc>
          <w:tcPr>
            <w:tcW w:w="534" w:type="dxa"/>
            <w:tcBorders>
              <w:left w:val="nil"/>
              <w:right w:val="nil"/>
            </w:tcBorders>
            <w:shd w:val="clear" w:color="auto" w:fill="D0CECE"/>
          </w:tcPr>
          <w:p w:rsidR="00CA4D04" w:rsidRDefault="00CA4D04" w:rsidP="00CA4D04">
            <w:pPr>
              <w:pStyle w:val="TableParagraph"/>
              <w:ind w:right="12"/>
            </w:pPr>
            <w:r>
              <w:rPr>
                <w:w w:val="99"/>
              </w:rPr>
              <w:t>7</w:t>
            </w:r>
          </w:p>
        </w:tc>
        <w:tc>
          <w:tcPr>
            <w:tcW w:w="533" w:type="dxa"/>
            <w:tcBorders>
              <w:left w:val="nil"/>
              <w:right w:val="nil"/>
            </w:tcBorders>
            <w:shd w:val="clear" w:color="auto" w:fill="D0CECE"/>
          </w:tcPr>
          <w:p w:rsidR="00CA4D04" w:rsidRDefault="00CA4D04" w:rsidP="00CA4D04">
            <w:pPr>
              <w:pStyle w:val="TableParagraph"/>
              <w:ind w:left="39"/>
            </w:pPr>
            <w:r>
              <w:rPr>
                <w:w w:val="99"/>
              </w:rPr>
              <w:t>5</w:t>
            </w:r>
          </w:p>
        </w:tc>
        <w:tc>
          <w:tcPr>
            <w:tcW w:w="682" w:type="dxa"/>
            <w:tcBorders>
              <w:left w:val="nil"/>
              <w:right w:val="nil"/>
            </w:tcBorders>
            <w:shd w:val="clear" w:color="auto" w:fill="D0CECE"/>
          </w:tcPr>
          <w:p w:rsidR="00CA4D04" w:rsidRDefault="00CA4D04" w:rsidP="00CA4D04">
            <w:pPr>
              <w:pStyle w:val="TableParagraph"/>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ind w:right="5"/>
            </w:pPr>
            <w:r>
              <w:rPr>
                <w:w w:val="99"/>
              </w:rPr>
              <w:t>1</w:t>
            </w:r>
          </w:p>
        </w:tc>
        <w:tc>
          <w:tcPr>
            <w:tcW w:w="708" w:type="dxa"/>
            <w:tcBorders>
              <w:left w:val="nil"/>
              <w:right w:val="nil"/>
            </w:tcBorders>
            <w:shd w:val="clear" w:color="auto" w:fill="D0CECE"/>
          </w:tcPr>
          <w:p w:rsidR="00CA4D04" w:rsidRDefault="00CA4D04" w:rsidP="00CA4D04">
            <w:pPr>
              <w:pStyle w:val="TableParagraph"/>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ind w:left="20"/>
            </w:pPr>
            <w:r>
              <w:rPr>
                <w:w w:val="99"/>
              </w:rPr>
              <w:t>5</w:t>
            </w:r>
          </w:p>
        </w:tc>
        <w:tc>
          <w:tcPr>
            <w:tcW w:w="508" w:type="dxa"/>
            <w:tcBorders>
              <w:left w:val="nil"/>
              <w:right w:val="nil"/>
            </w:tcBorders>
            <w:shd w:val="clear" w:color="auto" w:fill="D0CECE"/>
          </w:tcPr>
          <w:p w:rsidR="00CA4D04" w:rsidRDefault="00CA4D04" w:rsidP="00CA4D04">
            <w:pPr>
              <w:pStyle w:val="TableParagraph"/>
              <w:ind w:left="22"/>
            </w:pPr>
            <w:r>
              <w:rPr>
                <w:w w:val="99"/>
              </w:rPr>
              <w:t>7</w:t>
            </w:r>
          </w:p>
        </w:tc>
        <w:tc>
          <w:tcPr>
            <w:tcW w:w="673" w:type="dxa"/>
            <w:tcBorders>
              <w:left w:val="nil"/>
            </w:tcBorders>
            <w:shd w:val="clear" w:color="auto" w:fill="D0CECE"/>
          </w:tcPr>
          <w:p w:rsidR="00CA4D04" w:rsidRDefault="00CA4D04" w:rsidP="00CA4D04">
            <w:pPr>
              <w:pStyle w:val="TableParagraph"/>
              <w:ind w:left="210"/>
              <w:jc w:val="left"/>
            </w:pPr>
            <w:r>
              <w:rPr>
                <w:w w:val="99"/>
              </w:rPr>
              <w:t>9</w:t>
            </w:r>
          </w:p>
        </w:tc>
        <w:tc>
          <w:tcPr>
            <w:tcW w:w="2291" w:type="dxa"/>
            <w:shd w:val="clear" w:color="auto" w:fill="D0CECE"/>
          </w:tcPr>
          <w:p w:rsidR="00CA4D04" w:rsidRDefault="00CA4D04" w:rsidP="00CA4D04">
            <w:pPr>
              <w:pStyle w:val="TableParagraph"/>
              <w:ind w:left="218" w:right="196"/>
            </w:pPr>
            <w:r>
              <w:t>Storage capacity</w:t>
            </w:r>
          </w:p>
        </w:tc>
      </w:tr>
      <w:tr w:rsidR="00CA4D04" w:rsidTr="00CA4D04">
        <w:trPr>
          <w:trHeight w:val="268"/>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ind w:right="33"/>
            </w:pPr>
            <w:r>
              <w:rPr>
                <w:w w:val="99"/>
              </w:rPr>
              <w:t>9</w:t>
            </w:r>
          </w:p>
        </w:tc>
        <w:tc>
          <w:tcPr>
            <w:tcW w:w="534" w:type="dxa"/>
            <w:tcBorders>
              <w:left w:val="nil"/>
              <w:right w:val="nil"/>
            </w:tcBorders>
            <w:shd w:val="clear" w:color="auto" w:fill="D0CECE"/>
          </w:tcPr>
          <w:p w:rsidR="00CA4D04" w:rsidRDefault="00CA4D04" w:rsidP="00CA4D04">
            <w:pPr>
              <w:pStyle w:val="TableParagraph"/>
              <w:ind w:right="12"/>
            </w:pPr>
            <w:r>
              <w:rPr>
                <w:w w:val="99"/>
              </w:rPr>
              <w:t>7</w:t>
            </w:r>
          </w:p>
        </w:tc>
        <w:tc>
          <w:tcPr>
            <w:tcW w:w="533" w:type="dxa"/>
            <w:tcBorders>
              <w:left w:val="nil"/>
              <w:right w:val="nil"/>
            </w:tcBorders>
            <w:shd w:val="clear" w:color="auto" w:fill="D0CECE"/>
          </w:tcPr>
          <w:p w:rsidR="00CA4D04" w:rsidRDefault="00CA4D04" w:rsidP="00CA4D04">
            <w:pPr>
              <w:pStyle w:val="TableParagraph"/>
              <w:ind w:left="39"/>
            </w:pPr>
            <w:r>
              <w:rPr>
                <w:w w:val="99"/>
              </w:rPr>
              <w:t>5</w:t>
            </w:r>
          </w:p>
        </w:tc>
        <w:tc>
          <w:tcPr>
            <w:tcW w:w="682" w:type="dxa"/>
            <w:tcBorders>
              <w:left w:val="nil"/>
              <w:right w:val="nil"/>
            </w:tcBorders>
            <w:shd w:val="clear" w:color="auto" w:fill="D0CECE"/>
          </w:tcPr>
          <w:p w:rsidR="00CA4D04" w:rsidRDefault="00CA4D04" w:rsidP="00CA4D04">
            <w:pPr>
              <w:pStyle w:val="TableParagraph"/>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ind w:right="5"/>
            </w:pPr>
            <w:r>
              <w:rPr>
                <w:w w:val="99"/>
              </w:rPr>
              <w:t>1</w:t>
            </w:r>
          </w:p>
        </w:tc>
        <w:tc>
          <w:tcPr>
            <w:tcW w:w="708" w:type="dxa"/>
            <w:tcBorders>
              <w:left w:val="nil"/>
              <w:right w:val="nil"/>
            </w:tcBorders>
            <w:shd w:val="clear" w:color="auto" w:fill="D0CECE"/>
          </w:tcPr>
          <w:p w:rsidR="00CA4D04" w:rsidRDefault="00CA4D04" w:rsidP="00CA4D04">
            <w:pPr>
              <w:pStyle w:val="TableParagraph"/>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ind w:left="20"/>
            </w:pPr>
            <w:r>
              <w:rPr>
                <w:w w:val="99"/>
              </w:rPr>
              <w:t>5</w:t>
            </w:r>
          </w:p>
        </w:tc>
        <w:tc>
          <w:tcPr>
            <w:tcW w:w="508" w:type="dxa"/>
            <w:tcBorders>
              <w:left w:val="nil"/>
              <w:right w:val="nil"/>
            </w:tcBorders>
            <w:shd w:val="clear" w:color="auto" w:fill="D0CECE"/>
          </w:tcPr>
          <w:p w:rsidR="00CA4D04" w:rsidRDefault="00CA4D04" w:rsidP="00CA4D04">
            <w:pPr>
              <w:pStyle w:val="TableParagraph"/>
              <w:ind w:left="22"/>
            </w:pPr>
            <w:r>
              <w:rPr>
                <w:w w:val="99"/>
              </w:rPr>
              <w:t>7</w:t>
            </w:r>
          </w:p>
        </w:tc>
        <w:tc>
          <w:tcPr>
            <w:tcW w:w="673" w:type="dxa"/>
            <w:tcBorders>
              <w:left w:val="nil"/>
            </w:tcBorders>
            <w:shd w:val="clear" w:color="auto" w:fill="D0CECE"/>
          </w:tcPr>
          <w:p w:rsidR="00CA4D04" w:rsidRDefault="00CA4D04" w:rsidP="00CA4D04">
            <w:pPr>
              <w:pStyle w:val="TableParagraph"/>
              <w:ind w:left="210"/>
              <w:jc w:val="left"/>
            </w:pPr>
            <w:r>
              <w:rPr>
                <w:w w:val="99"/>
              </w:rPr>
              <w:t>9</w:t>
            </w:r>
          </w:p>
        </w:tc>
        <w:tc>
          <w:tcPr>
            <w:tcW w:w="2291" w:type="dxa"/>
            <w:shd w:val="clear" w:color="auto" w:fill="D0CECE"/>
          </w:tcPr>
          <w:p w:rsidR="00CA4D04" w:rsidRDefault="00CA4D04" w:rsidP="00CA4D04">
            <w:pPr>
              <w:pStyle w:val="TableParagraph"/>
              <w:ind w:left="219" w:right="196"/>
            </w:pPr>
            <w:r>
              <w:t>Berth length</w:t>
            </w:r>
          </w:p>
        </w:tc>
      </w:tr>
      <w:tr w:rsidR="00CA4D04" w:rsidTr="00CA4D04">
        <w:trPr>
          <w:trHeight w:val="268"/>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ind w:right="33"/>
            </w:pPr>
            <w:r>
              <w:rPr>
                <w:w w:val="99"/>
              </w:rPr>
              <w:t>9</w:t>
            </w:r>
          </w:p>
        </w:tc>
        <w:tc>
          <w:tcPr>
            <w:tcW w:w="534" w:type="dxa"/>
            <w:tcBorders>
              <w:left w:val="nil"/>
              <w:right w:val="nil"/>
            </w:tcBorders>
            <w:shd w:val="clear" w:color="auto" w:fill="D0CECE"/>
          </w:tcPr>
          <w:p w:rsidR="00CA4D04" w:rsidRDefault="00CA4D04" w:rsidP="00CA4D04">
            <w:pPr>
              <w:pStyle w:val="TableParagraph"/>
              <w:ind w:right="12"/>
            </w:pPr>
            <w:r>
              <w:rPr>
                <w:w w:val="99"/>
              </w:rPr>
              <w:t>7</w:t>
            </w:r>
          </w:p>
        </w:tc>
        <w:tc>
          <w:tcPr>
            <w:tcW w:w="533" w:type="dxa"/>
            <w:tcBorders>
              <w:left w:val="nil"/>
              <w:right w:val="nil"/>
            </w:tcBorders>
            <w:shd w:val="clear" w:color="auto" w:fill="D0CECE"/>
          </w:tcPr>
          <w:p w:rsidR="00CA4D04" w:rsidRDefault="00CA4D04" w:rsidP="00CA4D04">
            <w:pPr>
              <w:pStyle w:val="TableParagraph"/>
              <w:ind w:left="39"/>
            </w:pPr>
            <w:r>
              <w:rPr>
                <w:w w:val="99"/>
              </w:rPr>
              <w:t>5</w:t>
            </w:r>
          </w:p>
        </w:tc>
        <w:tc>
          <w:tcPr>
            <w:tcW w:w="682" w:type="dxa"/>
            <w:tcBorders>
              <w:left w:val="nil"/>
              <w:right w:val="nil"/>
            </w:tcBorders>
            <w:shd w:val="clear" w:color="auto" w:fill="D0CECE"/>
          </w:tcPr>
          <w:p w:rsidR="00CA4D04" w:rsidRDefault="00CA4D04" w:rsidP="00CA4D04">
            <w:pPr>
              <w:pStyle w:val="TableParagraph"/>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ind w:right="5"/>
            </w:pPr>
            <w:r>
              <w:rPr>
                <w:w w:val="99"/>
              </w:rPr>
              <w:t>1</w:t>
            </w:r>
          </w:p>
        </w:tc>
        <w:tc>
          <w:tcPr>
            <w:tcW w:w="708" w:type="dxa"/>
            <w:tcBorders>
              <w:left w:val="nil"/>
              <w:right w:val="nil"/>
            </w:tcBorders>
            <w:shd w:val="clear" w:color="auto" w:fill="D0CECE"/>
          </w:tcPr>
          <w:p w:rsidR="00CA4D04" w:rsidRDefault="00CA4D04" w:rsidP="00CA4D04">
            <w:pPr>
              <w:pStyle w:val="TableParagraph"/>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ind w:left="20"/>
            </w:pPr>
            <w:r>
              <w:rPr>
                <w:w w:val="99"/>
              </w:rPr>
              <w:t>5</w:t>
            </w:r>
          </w:p>
        </w:tc>
        <w:tc>
          <w:tcPr>
            <w:tcW w:w="508" w:type="dxa"/>
            <w:tcBorders>
              <w:left w:val="nil"/>
              <w:right w:val="nil"/>
            </w:tcBorders>
            <w:shd w:val="clear" w:color="auto" w:fill="D0CECE"/>
          </w:tcPr>
          <w:p w:rsidR="00CA4D04" w:rsidRDefault="00CA4D04" w:rsidP="00CA4D04">
            <w:pPr>
              <w:pStyle w:val="TableParagraph"/>
              <w:ind w:left="22"/>
            </w:pPr>
            <w:r>
              <w:rPr>
                <w:w w:val="99"/>
              </w:rPr>
              <w:t>7</w:t>
            </w:r>
          </w:p>
        </w:tc>
        <w:tc>
          <w:tcPr>
            <w:tcW w:w="673" w:type="dxa"/>
            <w:tcBorders>
              <w:left w:val="nil"/>
            </w:tcBorders>
            <w:shd w:val="clear" w:color="auto" w:fill="D0CECE"/>
          </w:tcPr>
          <w:p w:rsidR="00CA4D04" w:rsidRDefault="00CA4D04" w:rsidP="00CA4D04">
            <w:pPr>
              <w:pStyle w:val="TableParagraph"/>
              <w:ind w:left="210"/>
              <w:jc w:val="left"/>
            </w:pPr>
            <w:r>
              <w:rPr>
                <w:w w:val="99"/>
              </w:rPr>
              <w:t>9</w:t>
            </w:r>
          </w:p>
        </w:tc>
        <w:tc>
          <w:tcPr>
            <w:tcW w:w="2291" w:type="dxa"/>
            <w:shd w:val="clear" w:color="auto" w:fill="D0CECE"/>
          </w:tcPr>
          <w:p w:rsidR="00CA4D04" w:rsidRDefault="00CA4D04" w:rsidP="00CA4D04">
            <w:pPr>
              <w:pStyle w:val="TableParagraph"/>
              <w:ind w:left="220" w:right="195"/>
            </w:pPr>
            <w:r>
              <w:t>Draught</w:t>
            </w:r>
          </w:p>
        </w:tc>
      </w:tr>
      <w:tr w:rsidR="00CA4D04" w:rsidTr="00CA4D04">
        <w:trPr>
          <w:trHeight w:val="269"/>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spacing w:line="249" w:lineRule="exact"/>
              <w:ind w:right="33"/>
            </w:pPr>
            <w:r>
              <w:rPr>
                <w:w w:val="99"/>
              </w:rPr>
              <w:t>9</w:t>
            </w:r>
          </w:p>
        </w:tc>
        <w:tc>
          <w:tcPr>
            <w:tcW w:w="534" w:type="dxa"/>
            <w:tcBorders>
              <w:left w:val="nil"/>
              <w:right w:val="nil"/>
            </w:tcBorders>
            <w:shd w:val="clear" w:color="auto" w:fill="D0CECE"/>
          </w:tcPr>
          <w:p w:rsidR="00CA4D04" w:rsidRDefault="00CA4D04" w:rsidP="00CA4D04">
            <w:pPr>
              <w:pStyle w:val="TableParagraph"/>
              <w:spacing w:line="249" w:lineRule="exact"/>
              <w:ind w:right="12"/>
            </w:pPr>
            <w:r>
              <w:rPr>
                <w:w w:val="99"/>
              </w:rPr>
              <w:t>7</w:t>
            </w:r>
          </w:p>
        </w:tc>
        <w:tc>
          <w:tcPr>
            <w:tcW w:w="533" w:type="dxa"/>
            <w:tcBorders>
              <w:left w:val="nil"/>
              <w:right w:val="nil"/>
            </w:tcBorders>
            <w:shd w:val="clear" w:color="auto" w:fill="D0CECE"/>
          </w:tcPr>
          <w:p w:rsidR="00CA4D04" w:rsidRDefault="00CA4D04" w:rsidP="00CA4D04">
            <w:pPr>
              <w:pStyle w:val="TableParagraph"/>
              <w:spacing w:line="249" w:lineRule="exact"/>
              <w:ind w:left="39"/>
            </w:pPr>
            <w:r>
              <w:rPr>
                <w:w w:val="99"/>
              </w:rPr>
              <w:t>5</w:t>
            </w:r>
          </w:p>
        </w:tc>
        <w:tc>
          <w:tcPr>
            <w:tcW w:w="682" w:type="dxa"/>
            <w:tcBorders>
              <w:left w:val="nil"/>
              <w:right w:val="nil"/>
            </w:tcBorders>
            <w:shd w:val="clear" w:color="auto" w:fill="D0CECE"/>
          </w:tcPr>
          <w:p w:rsidR="00CA4D04" w:rsidRDefault="00CA4D04" w:rsidP="00CA4D04">
            <w:pPr>
              <w:pStyle w:val="TableParagraph"/>
              <w:spacing w:line="249" w:lineRule="exact"/>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spacing w:line="249" w:lineRule="exact"/>
              <w:ind w:right="5"/>
            </w:pPr>
            <w:r>
              <w:rPr>
                <w:w w:val="99"/>
              </w:rPr>
              <w:t>1</w:t>
            </w:r>
          </w:p>
        </w:tc>
        <w:tc>
          <w:tcPr>
            <w:tcW w:w="708" w:type="dxa"/>
            <w:tcBorders>
              <w:left w:val="nil"/>
              <w:right w:val="nil"/>
            </w:tcBorders>
            <w:shd w:val="clear" w:color="auto" w:fill="D0CECE"/>
          </w:tcPr>
          <w:p w:rsidR="00CA4D04" w:rsidRDefault="00CA4D04" w:rsidP="00CA4D04">
            <w:pPr>
              <w:pStyle w:val="TableParagraph"/>
              <w:spacing w:line="249" w:lineRule="exact"/>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spacing w:line="249" w:lineRule="exact"/>
              <w:ind w:left="20"/>
            </w:pPr>
            <w:r>
              <w:rPr>
                <w:w w:val="99"/>
              </w:rPr>
              <w:t>5</w:t>
            </w:r>
          </w:p>
        </w:tc>
        <w:tc>
          <w:tcPr>
            <w:tcW w:w="508" w:type="dxa"/>
            <w:tcBorders>
              <w:left w:val="nil"/>
              <w:right w:val="nil"/>
            </w:tcBorders>
            <w:shd w:val="clear" w:color="auto" w:fill="D0CECE"/>
          </w:tcPr>
          <w:p w:rsidR="00CA4D04" w:rsidRDefault="00CA4D04" w:rsidP="00CA4D04">
            <w:pPr>
              <w:pStyle w:val="TableParagraph"/>
              <w:spacing w:line="249" w:lineRule="exact"/>
              <w:ind w:left="22"/>
            </w:pPr>
            <w:r>
              <w:rPr>
                <w:w w:val="99"/>
              </w:rPr>
              <w:t>7</w:t>
            </w:r>
          </w:p>
        </w:tc>
        <w:tc>
          <w:tcPr>
            <w:tcW w:w="673" w:type="dxa"/>
            <w:tcBorders>
              <w:left w:val="nil"/>
            </w:tcBorders>
            <w:shd w:val="clear" w:color="auto" w:fill="D0CECE"/>
          </w:tcPr>
          <w:p w:rsidR="00CA4D04" w:rsidRDefault="00CA4D04" w:rsidP="00CA4D04">
            <w:pPr>
              <w:pStyle w:val="TableParagraph"/>
              <w:spacing w:line="249" w:lineRule="exact"/>
              <w:ind w:left="210"/>
              <w:jc w:val="left"/>
            </w:pPr>
            <w:r>
              <w:rPr>
                <w:w w:val="99"/>
              </w:rPr>
              <w:t>9</w:t>
            </w:r>
          </w:p>
        </w:tc>
        <w:tc>
          <w:tcPr>
            <w:tcW w:w="2291" w:type="dxa"/>
            <w:shd w:val="clear" w:color="auto" w:fill="D0CECE"/>
          </w:tcPr>
          <w:p w:rsidR="00CA4D04" w:rsidRDefault="00CA4D04" w:rsidP="00CA4D04">
            <w:pPr>
              <w:pStyle w:val="TableParagraph"/>
              <w:spacing w:line="249" w:lineRule="exact"/>
              <w:ind w:left="220" w:right="196"/>
            </w:pPr>
            <w:r>
              <w:t>Handling equipment</w:t>
            </w:r>
          </w:p>
        </w:tc>
      </w:tr>
      <w:tr w:rsidR="00CA4D04" w:rsidTr="00CA4D04">
        <w:trPr>
          <w:trHeight w:val="268"/>
          <w:jc w:val="center"/>
        </w:trPr>
        <w:tc>
          <w:tcPr>
            <w:tcW w:w="2328" w:type="dxa"/>
            <w:vMerge w:val="restart"/>
          </w:tcPr>
          <w:p w:rsidR="00CA4D04" w:rsidRDefault="00CA4D04" w:rsidP="00CA4D04">
            <w:pPr>
              <w:pStyle w:val="TableParagraph"/>
              <w:spacing w:line="240" w:lineRule="auto"/>
              <w:jc w:val="left"/>
            </w:pPr>
          </w:p>
          <w:p w:rsidR="00CA4D04" w:rsidRDefault="00CA4D04" w:rsidP="00CA4D04">
            <w:pPr>
              <w:pStyle w:val="TableParagraph"/>
              <w:spacing w:before="148" w:line="240" w:lineRule="auto"/>
              <w:ind w:left="607"/>
              <w:jc w:val="left"/>
            </w:pPr>
            <w:r>
              <w:t>Berth length</w:t>
            </w: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8" w:right="196"/>
            </w:pPr>
            <w:r>
              <w:t>Storage capacity</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8" w:right="196"/>
            </w:pPr>
            <w:r>
              <w:t>Terminal area</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20" w:right="195"/>
            </w:pPr>
            <w:r>
              <w:t>Draught</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20" w:right="196"/>
            </w:pPr>
            <w:r>
              <w:t>Handling equipment</w:t>
            </w:r>
          </w:p>
        </w:tc>
      </w:tr>
      <w:tr w:rsidR="00CA4D04" w:rsidTr="00CA4D04">
        <w:trPr>
          <w:trHeight w:val="268"/>
          <w:jc w:val="center"/>
        </w:trPr>
        <w:tc>
          <w:tcPr>
            <w:tcW w:w="2328" w:type="dxa"/>
            <w:vMerge w:val="restart"/>
            <w:shd w:val="clear" w:color="auto" w:fill="D0CECE"/>
          </w:tcPr>
          <w:p w:rsidR="00CA4D04" w:rsidRDefault="00CA4D04" w:rsidP="00CA4D04">
            <w:pPr>
              <w:pStyle w:val="TableParagraph"/>
              <w:spacing w:line="240" w:lineRule="auto"/>
              <w:jc w:val="left"/>
            </w:pPr>
          </w:p>
          <w:p w:rsidR="00CA4D04" w:rsidRDefault="00CA4D04" w:rsidP="00CA4D04">
            <w:pPr>
              <w:pStyle w:val="TableParagraph"/>
              <w:spacing w:before="149" w:line="240" w:lineRule="auto"/>
              <w:ind w:left="779" w:right="772"/>
            </w:pPr>
            <w:r>
              <w:t>Draught</w:t>
            </w:r>
          </w:p>
        </w:tc>
        <w:tc>
          <w:tcPr>
            <w:tcW w:w="467" w:type="dxa"/>
            <w:tcBorders>
              <w:right w:val="nil"/>
            </w:tcBorders>
            <w:shd w:val="clear" w:color="auto" w:fill="D0CECE"/>
          </w:tcPr>
          <w:p w:rsidR="00CA4D04" w:rsidRDefault="00CA4D04" w:rsidP="00CA4D04">
            <w:pPr>
              <w:pStyle w:val="TableParagraph"/>
              <w:spacing w:line="249" w:lineRule="exact"/>
              <w:ind w:right="33"/>
            </w:pPr>
            <w:r>
              <w:rPr>
                <w:w w:val="99"/>
              </w:rPr>
              <w:t>9</w:t>
            </w:r>
          </w:p>
        </w:tc>
        <w:tc>
          <w:tcPr>
            <w:tcW w:w="534" w:type="dxa"/>
            <w:tcBorders>
              <w:left w:val="nil"/>
              <w:right w:val="nil"/>
            </w:tcBorders>
            <w:shd w:val="clear" w:color="auto" w:fill="D0CECE"/>
          </w:tcPr>
          <w:p w:rsidR="00CA4D04" w:rsidRDefault="00CA4D04" w:rsidP="00CA4D04">
            <w:pPr>
              <w:pStyle w:val="TableParagraph"/>
              <w:spacing w:line="249" w:lineRule="exact"/>
              <w:ind w:right="12"/>
            </w:pPr>
            <w:r>
              <w:rPr>
                <w:w w:val="99"/>
              </w:rPr>
              <w:t>7</w:t>
            </w:r>
          </w:p>
        </w:tc>
        <w:tc>
          <w:tcPr>
            <w:tcW w:w="533" w:type="dxa"/>
            <w:tcBorders>
              <w:left w:val="nil"/>
              <w:right w:val="nil"/>
            </w:tcBorders>
            <w:shd w:val="clear" w:color="auto" w:fill="D0CECE"/>
          </w:tcPr>
          <w:p w:rsidR="00CA4D04" w:rsidRDefault="00CA4D04" w:rsidP="00CA4D04">
            <w:pPr>
              <w:pStyle w:val="TableParagraph"/>
              <w:spacing w:line="249" w:lineRule="exact"/>
              <w:ind w:left="39"/>
            </w:pPr>
            <w:r>
              <w:rPr>
                <w:w w:val="99"/>
              </w:rPr>
              <w:t>5</w:t>
            </w:r>
          </w:p>
        </w:tc>
        <w:tc>
          <w:tcPr>
            <w:tcW w:w="682" w:type="dxa"/>
            <w:tcBorders>
              <w:left w:val="nil"/>
              <w:right w:val="nil"/>
            </w:tcBorders>
            <w:shd w:val="clear" w:color="auto" w:fill="D0CECE"/>
          </w:tcPr>
          <w:p w:rsidR="00CA4D04" w:rsidRDefault="00CA4D04" w:rsidP="00CA4D04">
            <w:pPr>
              <w:pStyle w:val="TableParagraph"/>
              <w:spacing w:line="249" w:lineRule="exact"/>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spacing w:line="249" w:lineRule="exact"/>
              <w:ind w:right="5"/>
            </w:pPr>
            <w:r>
              <w:rPr>
                <w:w w:val="99"/>
              </w:rPr>
              <w:t>1</w:t>
            </w:r>
          </w:p>
        </w:tc>
        <w:tc>
          <w:tcPr>
            <w:tcW w:w="708" w:type="dxa"/>
            <w:tcBorders>
              <w:left w:val="nil"/>
              <w:right w:val="nil"/>
            </w:tcBorders>
            <w:shd w:val="clear" w:color="auto" w:fill="D0CECE"/>
          </w:tcPr>
          <w:p w:rsidR="00CA4D04" w:rsidRDefault="00CA4D04" w:rsidP="00CA4D04">
            <w:pPr>
              <w:pStyle w:val="TableParagraph"/>
              <w:spacing w:line="249" w:lineRule="exact"/>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spacing w:line="249" w:lineRule="exact"/>
              <w:ind w:left="20"/>
            </w:pPr>
            <w:r>
              <w:rPr>
                <w:w w:val="99"/>
              </w:rPr>
              <w:t>5</w:t>
            </w:r>
          </w:p>
        </w:tc>
        <w:tc>
          <w:tcPr>
            <w:tcW w:w="508" w:type="dxa"/>
            <w:tcBorders>
              <w:left w:val="nil"/>
              <w:right w:val="nil"/>
            </w:tcBorders>
            <w:shd w:val="clear" w:color="auto" w:fill="D0CECE"/>
          </w:tcPr>
          <w:p w:rsidR="00CA4D04" w:rsidRDefault="00CA4D04" w:rsidP="00CA4D04">
            <w:pPr>
              <w:pStyle w:val="TableParagraph"/>
              <w:spacing w:line="249" w:lineRule="exact"/>
              <w:ind w:left="22"/>
            </w:pPr>
            <w:r>
              <w:rPr>
                <w:w w:val="99"/>
              </w:rPr>
              <w:t>7</w:t>
            </w:r>
          </w:p>
        </w:tc>
        <w:tc>
          <w:tcPr>
            <w:tcW w:w="673" w:type="dxa"/>
            <w:tcBorders>
              <w:left w:val="nil"/>
            </w:tcBorders>
            <w:shd w:val="clear" w:color="auto" w:fill="D0CECE"/>
          </w:tcPr>
          <w:p w:rsidR="00CA4D04" w:rsidRDefault="00CA4D04" w:rsidP="00CA4D04">
            <w:pPr>
              <w:pStyle w:val="TableParagraph"/>
              <w:spacing w:line="249" w:lineRule="exact"/>
              <w:ind w:left="210"/>
              <w:jc w:val="left"/>
            </w:pPr>
            <w:r>
              <w:rPr>
                <w:w w:val="99"/>
              </w:rPr>
              <w:t>9</w:t>
            </w:r>
          </w:p>
        </w:tc>
        <w:tc>
          <w:tcPr>
            <w:tcW w:w="2291" w:type="dxa"/>
            <w:shd w:val="clear" w:color="auto" w:fill="D0CECE"/>
          </w:tcPr>
          <w:p w:rsidR="00CA4D04" w:rsidRDefault="00CA4D04" w:rsidP="00CA4D04">
            <w:pPr>
              <w:pStyle w:val="TableParagraph"/>
              <w:spacing w:line="249" w:lineRule="exact"/>
              <w:ind w:left="218" w:right="196"/>
            </w:pPr>
            <w:r>
              <w:t>Storage capacity</w:t>
            </w:r>
          </w:p>
        </w:tc>
      </w:tr>
      <w:tr w:rsidR="00CA4D04" w:rsidTr="00CA4D04">
        <w:trPr>
          <w:trHeight w:val="268"/>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ind w:right="33"/>
            </w:pPr>
            <w:r>
              <w:rPr>
                <w:w w:val="99"/>
              </w:rPr>
              <w:t>9</w:t>
            </w:r>
          </w:p>
        </w:tc>
        <w:tc>
          <w:tcPr>
            <w:tcW w:w="534" w:type="dxa"/>
            <w:tcBorders>
              <w:left w:val="nil"/>
              <w:right w:val="nil"/>
            </w:tcBorders>
            <w:shd w:val="clear" w:color="auto" w:fill="D0CECE"/>
          </w:tcPr>
          <w:p w:rsidR="00CA4D04" w:rsidRDefault="00CA4D04" w:rsidP="00CA4D04">
            <w:pPr>
              <w:pStyle w:val="TableParagraph"/>
              <w:ind w:right="12"/>
            </w:pPr>
            <w:r>
              <w:rPr>
                <w:w w:val="99"/>
              </w:rPr>
              <w:t>7</w:t>
            </w:r>
          </w:p>
        </w:tc>
        <w:tc>
          <w:tcPr>
            <w:tcW w:w="533" w:type="dxa"/>
            <w:tcBorders>
              <w:left w:val="nil"/>
              <w:right w:val="nil"/>
            </w:tcBorders>
            <w:shd w:val="clear" w:color="auto" w:fill="D0CECE"/>
          </w:tcPr>
          <w:p w:rsidR="00CA4D04" w:rsidRDefault="00CA4D04" w:rsidP="00CA4D04">
            <w:pPr>
              <w:pStyle w:val="TableParagraph"/>
              <w:ind w:left="39"/>
            </w:pPr>
            <w:r>
              <w:rPr>
                <w:w w:val="99"/>
              </w:rPr>
              <w:t>5</w:t>
            </w:r>
          </w:p>
        </w:tc>
        <w:tc>
          <w:tcPr>
            <w:tcW w:w="682" w:type="dxa"/>
            <w:tcBorders>
              <w:left w:val="nil"/>
              <w:right w:val="nil"/>
            </w:tcBorders>
            <w:shd w:val="clear" w:color="auto" w:fill="D0CECE"/>
          </w:tcPr>
          <w:p w:rsidR="00CA4D04" w:rsidRDefault="00CA4D04" w:rsidP="00CA4D04">
            <w:pPr>
              <w:pStyle w:val="TableParagraph"/>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ind w:right="5"/>
            </w:pPr>
            <w:r>
              <w:rPr>
                <w:w w:val="99"/>
              </w:rPr>
              <w:t>1</w:t>
            </w:r>
          </w:p>
        </w:tc>
        <w:tc>
          <w:tcPr>
            <w:tcW w:w="708" w:type="dxa"/>
            <w:tcBorders>
              <w:left w:val="nil"/>
              <w:right w:val="nil"/>
            </w:tcBorders>
            <w:shd w:val="clear" w:color="auto" w:fill="D0CECE"/>
          </w:tcPr>
          <w:p w:rsidR="00CA4D04" w:rsidRDefault="00CA4D04" w:rsidP="00CA4D04">
            <w:pPr>
              <w:pStyle w:val="TableParagraph"/>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ind w:left="20"/>
            </w:pPr>
            <w:r>
              <w:rPr>
                <w:w w:val="99"/>
              </w:rPr>
              <w:t>5</w:t>
            </w:r>
          </w:p>
        </w:tc>
        <w:tc>
          <w:tcPr>
            <w:tcW w:w="508" w:type="dxa"/>
            <w:tcBorders>
              <w:left w:val="nil"/>
              <w:right w:val="nil"/>
            </w:tcBorders>
            <w:shd w:val="clear" w:color="auto" w:fill="D0CECE"/>
          </w:tcPr>
          <w:p w:rsidR="00CA4D04" w:rsidRDefault="00CA4D04" w:rsidP="00CA4D04">
            <w:pPr>
              <w:pStyle w:val="TableParagraph"/>
              <w:ind w:left="22"/>
            </w:pPr>
            <w:r>
              <w:rPr>
                <w:w w:val="99"/>
              </w:rPr>
              <w:t>7</w:t>
            </w:r>
          </w:p>
        </w:tc>
        <w:tc>
          <w:tcPr>
            <w:tcW w:w="673" w:type="dxa"/>
            <w:tcBorders>
              <w:left w:val="nil"/>
            </w:tcBorders>
            <w:shd w:val="clear" w:color="auto" w:fill="D0CECE"/>
          </w:tcPr>
          <w:p w:rsidR="00CA4D04" w:rsidRDefault="00CA4D04" w:rsidP="00CA4D04">
            <w:pPr>
              <w:pStyle w:val="TableParagraph"/>
              <w:ind w:left="210"/>
              <w:jc w:val="left"/>
            </w:pPr>
            <w:r>
              <w:rPr>
                <w:w w:val="99"/>
              </w:rPr>
              <w:t>9</w:t>
            </w:r>
          </w:p>
        </w:tc>
        <w:tc>
          <w:tcPr>
            <w:tcW w:w="2291" w:type="dxa"/>
            <w:shd w:val="clear" w:color="auto" w:fill="D0CECE"/>
          </w:tcPr>
          <w:p w:rsidR="00CA4D04" w:rsidRDefault="00CA4D04" w:rsidP="00CA4D04">
            <w:pPr>
              <w:pStyle w:val="TableParagraph"/>
              <w:ind w:left="218" w:right="196"/>
            </w:pPr>
            <w:r>
              <w:t>Terminal area</w:t>
            </w:r>
          </w:p>
        </w:tc>
      </w:tr>
      <w:tr w:rsidR="00CA4D04" w:rsidTr="00CA4D04">
        <w:trPr>
          <w:trHeight w:val="269"/>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spacing w:line="249" w:lineRule="exact"/>
              <w:ind w:right="33"/>
            </w:pPr>
            <w:r>
              <w:rPr>
                <w:w w:val="99"/>
              </w:rPr>
              <w:t>9</w:t>
            </w:r>
          </w:p>
        </w:tc>
        <w:tc>
          <w:tcPr>
            <w:tcW w:w="534" w:type="dxa"/>
            <w:tcBorders>
              <w:left w:val="nil"/>
              <w:right w:val="nil"/>
            </w:tcBorders>
            <w:shd w:val="clear" w:color="auto" w:fill="D0CECE"/>
          </w:tcPr>
          <w:p w:rsidR="00CA4D04" w:rsidRDefault="00CA4D04" w:rsidP="00CA4D04">
            <w:pPr>
              <w:pStyle w:val="TableParagraph"/>
              <w:spacing w:line="249" w:lineRule="exact"/>
              <w:ind w:right="12"/>
            </w:pPr>
            <w:r>
              <w:rPr>
                <w:w w:val="99"/>
              </w:rPr>
              <w:t>7</w:t>
            </w:r>
          </w:p>
        </w:tc>
        <w:tc>
          <w:tcPr>
            <w:tcW w:w="533" w:type="dxa"/>
            <w:tcBorders>
              <w:left w:val="nil"/>
              <w:right w:val="nil"/>
            </w:tcBorders>
            <w:shd w:val="clear" w:color="auto" w:fill="D0CECE"/>
          </w:tcPr>
          <w:p w:rsidR="00CA4D04" w:rsidRDefault="00CA4D04" w:rsidP="00CA4D04">
            <w:pPr>
              <w:pStyle w:val="TableParagraph"/>
              <w:spacing w:line="249" w:lineRule="exact"/>
              <w:ind w:left="39"/>
            </w:pPr>
            <w:r>
              <w:rPr>
                <w:w w:val="99"/>
              </w:rPr>
              <w:t>5</w:t>
            </w:r>
          </w:p>
        </w:tc>
        <w:tc>
          <w:tcPr>
            <w:tcW w:w="682" w:type="dxa"/>
            <w:tcBorders>
              <w:left w:val="nil"/>
              <w:right w:val="nil"/>
            </w:tcBorders>
            <w:shd w:val="clear" w:color="auto" w:fill="D0CECE"/>
          </w:tcPr>
          <w:p w:rsidR="00CA4D04" w:rsidRDefault="00CA4D04" w:rsidP="00CA4D04">
            <w:pPr>
              <w:pStyle w:val="TableParagraph"/>
              <w:spacing w:line="249" w:lineRule="exact"/>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spacing w:line="249" w:lineRule="exact"/>
              <w:ind w:right="5"/>
            </w:pPr>
            <w:r>
              <w:rPr>
                <w:w w:val="99"/>
              </w:rPr>
              <w:t>1</w:t>
            </w:r>
          </w:p>
        </w:tc>
        <w:tc>
          <w:tcPr>
            <w:tcW w:w="708" w:type="dxa"/>
            <w:tcBorders>
              <w:left w:val="nil"/>
              <w:right w:val="nil"/>
            </w:tcBorders>
            <w:shd w:val="clear" w:color="auto" w:fill="D0CECE"/>
          </w:tcPr>
          <w:p w:rsidR="00CA4D04" w:rsidRDefault="00CA4D04" w:rsidP="00CA4D04">
            <w:pPr>
              <w:pStyle w:val="TableParagraph"/>
              <w:spacing w:line="249" w:lineRule="exact"/>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spacing w:line="249" w:lineRule="exact"/>
              <w:ind w:left="20"/>
            </w:pPr>
            <w:r>
              <w:rPr>
                <w:w w:val="99"/>
              </w:rPr>
              <w:t>5</w:t>
            </w:r>
          </w:p>
        </w:tc>
        <w:tc>
          <w:tcPr>
            <w:tcW w:w="508" w:type="dxa"/>
            <w:tcBorders>
              <w:left w:val="nil"/>
              <w:right w:val="nil"/>
            </w:tcBorders>
            <w:shd w:val="clear" w:color="auto" w:fill="D0CECE"/>
          </w:tcPr>
          <w:p w:rsidR="00CA4D04" w:rsidRDefault="00CA4D04" w:rsidP="00CA4D04">
            <w:pPr>
              <w:pStyle w:val="TableParagraph"/>
              <w:spacing w:line="249" w:lineRule="exact"/>
              <w:ind w:left="22"/>
            </w:pPr>
            <w:r>
              <w:rPr>
                <w:w w:val="99"/>
              </w:rPr>
              <w:t>7</w:t>
            </w:r>
          </w:p>
        </w:tc>
        <w:tc>
          <w:tcPr>
            <w:tcW w:w="673" w:type="dxa"/>
            <w:tcBorders>
              <w:left w:val="nil"/>
            </w:tcBorders>
            <w:shd w:val="clear" w:color="auto" w:fill="D0CECE"/>
          </w:tcPr>
          <w:p w:rsidR="00CA4D04" w:rsidRDefault="00CA4D04" w:rsidP="00CA4D04">
            <w:pPr>
              <w:pStyle w:val="TableParagraph"/>
              <w:spacing w:line="249" w:lineRule="exact"/>
              <w:ind w:left="210"/>
              <w:jc w:val="left"/>
            </w:pPr>
            <w:r>
              <w:rPr>
                <w:w w:val="99"/>
              </w:rPr>
              <w:t>9</w:t>
            </w:r>
          </w:p>
        </w:tc>
        <w:tc>
          <w:tcPr>
            <w:tcW w:w="2291" w:type="dxa"/>
            <w:shd w:val="clear" w:color="auto" w:fill="D0CECE"/>
          </w:tcPr>
          <w:p w:rsidR="00CA4D04" w:rsidRDefault="00CA4D04" w:rsidP="00CA4D04">
            <w:pPr>
              <w:pStyle w:val="TableParagraph"/>
              <w:spacing w:line="249" w:lineRule="exact"/>
              <w:ind w:left="219" w:right="196"/>
            </w:pPr>
            <w:r>
              <w:t>Berth length</w:t>
            </w:r>
          </w:p>
        </w:tc>
      </w:tr>
      <w:tr w:rsidR="00CA4D04" w:rsidTr="00CA4D04">
        <w:trPr>
          <w:trHeight w:val="268"/>
          <w:jc w:val="center"/>
        </w:trPr>
        <w:tc>
          <w:tcPr>
            <w:tcW w:w="2328" w:type="dxa"/>
            <w:vMerge/>
            <w:tcBorders>
              <w:top w:val="nil"/>
            </w:tcBorders>
            <w:shd w:val="clear" w:color="auto" w:fill="D0CECE"/>
          </w:tcPr>
          <w:p w:rsidR="00CA4D04" w:rsidRDefault="00CA4D04" w:rsidP="00CA4D04">
            <w:pPr>
              <w:rPr>
                <w:sz w:val="2"/>
                <w:szCs w:val="2"/>
              </w:rPr>
            </w:pPr>
          </w:p>
        </w:tc>
        <w:tc>
          <w:tcPr>
            <w:tcW w:w="467" w:type="dxa"/>
            <w:tcBorders>
              <w:right w:val="nil"/>
            </w:tcBorders>
            <w:shd w:val="clear" w:color="auto" w:fill="D0CECE"/>
          </w:tcPr>
          <w:p w:rsidR="00CA4D04" w:rsidRDefault="00CA4D04" w:rsidP="00CA4D04">
            <w:pPr>
              <w:pStyle w:val="TableParagraph"/>
              <w:ind w:right="33"/>
            </w:pPr>
            <w:r>
              <w:rPr>
                <w:w w:val="99"/>
              </w:rPr>
              <w:t>9</w:t>
            </w:r>
          </w:p>
        </w:tc>
        <w:tc>
          <w:tcPr>
            <w:tcW w:w="534" w:type="dxa"/>
            <w:tcBorders>
              <w:left w:val="nil"/>
              <w:right w:val="nil"/>
            </w:tcBorders>
            <w:shd w:val="clear" w:color="auto" w:fill="D0CECE"/>
          </w:tcPr>
          <w:p w:rsidR="00CA4D04" w:rsidRDefault="00CA4D04" w:rsidP="00CA4D04">
            <w:pPr>
              <w:pStyle w:val="TableParagraph"/>
              <w:ind w:right="12"/>
            </w:pPr>
            <w:r>
              <w:rPr>
                <w:w w:val="99"/>
              </w:rPr>
              <w:t>7</w:t>
            </w:r>
          </w:p>
        </w:tc>
        <w:tc>
          <w:tcPr>
            <w:tcW w:w="533" w:type="dxa"/>
            <w:tcBorders>
              <w:left w:val="nil"/>
              <w:right w:val="nil"/>
            </w:tcBorders>
            <w:shd w:val="clear" w:color="auto" w:fill="D0CECE"/>
          </w:tcPr>
          <w:p w:rsidR="00CA4D04" w:rsidRDefault="00CA4D04" w:rsidP="00CA4D04">
            <w:pPr>
              <w:pStyle w:val="TableParagraph"/>
              <w:ind w:left="39"/>
            </w:pPr>
            <w:r>
              <w:rPr>
                <w:w w:val="99"/>
              </w:rPr>
              <w:t>5</w:t>
            </w:r>
          </w:p>
        </w:tc>
        <w:tc>
          <w:tcPr>
            <w:tcW w:w="682" w:type="dxa"/>
            <w:tcBorders>
              <w:left w:val="nil"/>
              <w:right w:val="nil"/>
            </w:tcBorders>
            <w:shd w:val="clear" w:color="auto" w:fill="D0CECE"/>
          </w:tcPr>
          <w:p w:rsidR="00CA4D04" w:rsidRDefault="00CA4D04" w:rsidP="00CA4D04">
            <w:pPr>
              <w:pStyle w:val="TableParagraph"/>
              <w:ind w:left="205"/>
              <w:jc w:val="left"/>
            </w:pPr>
            <w:r>
              <w:rPr>
                <w:w w:val="99"/>
              </w:rPr>
              <w:t>3</w:t>
            </w:r>
          </w:p>
        </w:tc>
        <w:tc>
          <w:tcPr>
            <w:tcW w:w="882" w:type="dxa"/>
            <w:tcBorders>
              <w:left w:val="nil"/>
              <w:right w:val="nil"/>
            </w:tcBorders>
            <w:shd w:val="clear" w:color="auto" w:fill="D0CECE"/>
          </w:tcPr>
          <w:p w:rsidR="00CA4D04" w:rsidRDefault="00CA4D04" w:rsidP="00CA4D04">
            <w:pPr>
              <w:pStyle w:val="TableParagraph"/>
              <w:ind w:right="5"/>
            </w:pPr>
            <w:r>
              <w:rPr>
                <w:w w:val="99"/>
              </w:rPr>
              <w:t>1</w:t>
            </w:r>
          </w:p>
        </w:tc>
        <w:tc>
          <w:tcPr>
            <w:tcW w:w="708" w:type="dxa"/>
            <w:tcBorders>
              <w:left w:val="nil"/>
              <w:right w:val="nil"/>
            </w:tcBorders>
            <w:shd w:val="clear" w:color="auto" w:fill="D0CECE"/>
          </w:tcPr>
          <w:p w:rsidR="00CA4D04" w:rsidRDefault="00CA4D04" w:rsidP="00CA4D04">
            <w:pPr>
              <w:pStyle w:val="TableParagraph"/>
              <w:ind w:right="187"/>
              <w:jc w:val="right"/>
            </w:pPr>
            <w:r>
              <w:rPr>
                <w:w w:val="99"/>
              </w:rPr>
              <w:t>3</w:t>
            </w:r>
          </w:p>
        </w:tc>
        <w:tc>
          <w:tcPr>
            <w:tcW w:w="509" w:type="dxa"/>
            <w:tcBorders>
              <w:left w:val="nil"/>
              <w:right w:val="nil"/>
            </w:tcBorders>
            <w:shd w:val="clear" w:color="auto" w:fill="D0CECE"/>
          </w:tcPr>
          <w:p w:rsidR="00CA4D04" w:rsidRDefault="00CA4D04" w:rsidP="00CA4D04">
            <w:pPr>
              <w:pStyle w:val="TableParagraph"/>
              <w:ind w:left="20"/>
            </w:pPr>
            <w:r>
              <w:rPr>
                <w:w w:val="99"/>
              </w:rPr>
              <w:t>5</w:t>
            </w:r>
          </w:p>
        </w:tc>
        <w:tc>
          <w:tcPr>
            <w:tcW w:w="508" w:type="dxa"/>
            <w:tcBorders>
              <w:left w:val="nil"/>
              <w:right w:val="nil"/>
            </w:tcBorders>
            <w:shd w:val="clear" w:color="auto" w:fill="D0CECE"/>
          </w:tcPr>
          <w:p w:rsidR="00CA4D04" w:rsidRDefault="00CA4D04" w:rsidP="00CA4D04">
            <w:pPr>
              <w:pStyle w:val="TableParagraph"/>
              <w:ind w:left="22"/>
            </w:pPr>
            <w:r>
              <w:rPr>
                <w:w w:val="99"/>
              </w:rPr>
              <w:t>7</w:t>
            </w:r>
          </w:p>
        </w:tc>
        <w:tc>
          <w:tcPr>
            <w:tcW w:w="673" w:type="dxa"/>
            <w:tcBorders>
              <w:left w:val="nil"/>
            </w:tcBorders>
            <w:shd w:val="clear" w:color="auto" w:fill="D0CECE"/>
          </w:tcPr>
          <w:p w:rsidR="00CA4D04" w:rsidRDefault="00CA4D04" w:rsidP="00CA4D04">
            <w:pPr>
              <w:pStyle w:val="TableParagraph"/>
              <w:ind w:left="210"/>
              <w:jc w:val="left"/>
            </w:pPr>
            <w:r>
              <w:rPr>
                <w:w w:val="99"/>
              </w:rPr>
              <w:t>9</w:t>
            </w:r>
          </w:p>
        </w:tc>
        <w:tc>
          <w:tcPr>
            <w:tcW w:w="2291" w:type="dxa"/>
            <w:shd w:val="clear" w:color="auto" w:fill="D0CECE"/>
          </w:tcPr>
          <w:p w:rsidR="00CA4D04" w:rsidRDefault="00CA4D04" w:rsidP="00CA4D04">
            <w:pPr>
              <w:pStyle w:val="TableParagraph"/>
              <w:ind w:left="220" w:right="196"/>
            </w:pPr>
            <w:r>
              <w:t>Handling equipment</w:t>
            </w:r>
          </w:p>
        </w:tc>
      </w:tr>
      <w:tr w:rsidR="00CA4D04" w:rsidTr="00CA4D04">
        <w:trPr>
          <w:trHeight w:val="268"/>
          <w:jc w:val="center"/>
        </w:trPr>
        <w:tc>
          <w:tcPr>
            <w:tcW w:w="2328" w:type="dxa"/>
            <w:vMerge w:val="restart"/>
          </w:tcPr>
          <w:p w:rsidR="00CA4D04" w:rsidRDefault="00CA4D04" w:rsidP="00CA4D04">
            <w:pPr>
              <w:pStyle w:val="TableParagraph"/>
              <w:spacing w:line="240" w:lineRule="auto"/>
              <w:jc w:val="left"/>
            </w:pPr>
          </w:p>
          <w:p w:rsidR="00CA4D04" w:rsidRDefault="00CA4D04" w:rsidP="00CA4D04">
            <w:pPr>
              <w:pStyle w:val="TableParagraph"/>
              <w:spacing w:before="148" w:line="240" w:lineRule="auto"/>
              <w:ind w:left="250"/>
              <w:jc w:val="left"/>
            </w:pPr>
            <w:r>
              <w:t>Handling equipment</w:t>
            </w: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8" w:right="196"/>
            </w:pPr>
            <w:r>
              <w:t>Storage capacity</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8" w:right="196"/>
            </w:pPr>
            <w:r>
              <w:t>Terminal area</w:t>
            </w:r>
          </w:p>
        </w:tc>
      </w:tr>
      <w:tr w:rsidR="00CA4D04" w:rsidTr="00CA4D04">
        <w:trPr>
          <w:trHeight w:val="268"/>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ind w:right="33"/>
            </w:pPr>
            <w:r>
              <w:rPr>
                <w:w w:val="99"/>
              </w:rPr>
              <w:t>9</w:t>
            </w:r>
          </w:p>
        </w:tc>
        <w:tc>
          <w:tcPr>
            <w:tcW w:w="534" w:type="dxa"/>
            <w:tcBorders>
              <w:left w:val="nil"/>
              <w:right w:val="nil"/>
            </w:tcBorders>
          </w:tcPr>
          <w:p w:rsidR="00CA4D04" w:rsidRDefault="00CA4D04" w:rsidP="00CA4D04">
            <w:pPr>
              <w:pStyle w:val="TableParagraph"/>
              <w:ind w:right="12"/>
            </w:pPr>
            <w:r>
              <w:rPr>
                <w:w w:val="99"/>
              </w:rPr>
              <w:t>7</w:t>
            </w:r>
          </w:p>
        </w:tc>
        <w:tc>
          <w:tcPr>
            <w:tcW w:w="533" w:type="dxa"/>
            <w:tcBorders>
              <w:left w:val="nil"/>
              <w:right w:val="nil"/>
            </w:tcBorders>
          </w:tcPr>
          <w:p w:rsidR="00CA4D04" w:rsidRDefault="00CA4D04" w:rsidP="00CA4D04">
            <w:pPr>
              <w:pStyle w:val="TableParagraph"/>
              <w:ind w:left="39"/>
            </w:pPr>
            <w:r>
              <w:rPr>
                <w:w w:val="99"/>
              </w:rPr>
              <w:t>5</w:t>
            </w:r>
          </w:p>
        </w:tc>
        <w:tc>
          <w:tcPr>
            <w:tcW w:w="682" w:type="dxa"/>
            <w:tcBorders>
              <w:left w:val="nil"/>
              <w:right w:val="nil"/>
            </w:tcBorders>
          </w:tcPr>
          <w:p w:rsidR="00CA4D04" w:rsidRDefault="00CA4D04" w:rsidP="00CA4D04">
            <w:pPr>
              <w:pStyle w:val="TableParagraph"/>
              <w:ind w:left="205"/>
              <w:jc w:val="left"/>
            </w:pPr>
            <w:r>
              <w:rPr>
                <w:w w:val="99"/>
              </w:rPr>
              <w:t>3</w:t>
            </w:r>
          </w:p>
        </w:tc>
        <w:tc>
          <w:tcPr>
            <w:tcW w:w="882" w:type="dxa"/>
            <w:tcBorders>
              <w:left w:val="nil"/>
              <w:right w:val="nil"/>
            </w:tcBorders>
          </w:tcPr>
          <w:p w:rsidR="00CA4D04" w:rsidRDefault="00CA4D04" w:rsidP="00CA4D04">
            <w:pPr>
              <w:pStyle w:val="TableParagraph"/>
              <w:ind w:right="5"/>
            </w:pPr>
            <w:r>
              <w:rPr>
                <w:w w:val="99"/>
              </w:rPr>
              <w:t>1</w:t>
            </w:r>
          </w:p>
        </w:tc>
        <w:tc>
          <w:tcPr>
            <w:tcW w:w="708" w:type="dxa"/>
            <w:tcBorders>
              <w:left w:val="nil"/>
              <w:right w:val="nil"/>
            </w:tcBorders>
          </w:tcPr>
          <w:p w:rsidR="00CA4D04" w:rsidRDefault="00CA4D04" w:rsidP="00CA4D04">
            <w:pPr>
              <w:pStyle w:val="TableParagraph"/>
              <w:ind w:right="187"/>
              <w:jc w:val="right"/>
            </w:pPr>
            <w:r>
              <w:rPr>
                <w:w w:val="99"/>
              </w:rPr>
              <w:t>3</w:t>
            </w:r>
          </w:p>
        </w:tc>
        <w:tc>
          <w:tcPr>
            <w:tcW w:w="509" w:type="dxa"/>
            <w:tcBorders>
              <w:left w:val="nil"/>
              <w:right w:val="nil"/>
            </w:tcBorders>
          </w:tcPr>
          <w:p w:rsidR="00CA4D04" w:rsidRDefault="00CA4D04" w:rsidP="00CA4D04">
            <w:pPr>
              <w:pStyle w:val="TableParagraph"/>
              <w:ind w:left="20"/>
            </w:pPr>
            <w:r>
              <w:rPr>
                <w:w w:val="99"/>
              </w:rPr>
              <w:t>5</w:t>
            </w:r>
          </w:p>
        </w:tc>
        <w:tc>
          <w:tcPr>
            <w:tcW w:w="508" w:type="dxa"/>
            <w:tcBorders>
              <w:left w:val="nil"/>
              <w:right w:val="nil"/>
            </w:tcBorders>
          </w:tcPr>
          <w:p w:rsidR="00CA4D04" w:rsidRDefault="00CA4D04" w:rsidP="00CA4D04">
            <w:pPr>
              <w:pStyle w:val="TableParagraph"/>
              <w:ind w:left="22"/>
            </w:pPr>
            <w:r>
              <w:rPr>
                <w:w w:val="99"/>
              </w:rPr>
              <w:t>7</w:t>
            </w:r>
          </w:p>
        </w:tc>
        <w:tc>
          <w:tcPr>
            <w:tcW w:w="673" w:type="dxa"/>
            <w:tcBorders>
              <w:left w:val="nil"/>
            </w:tcBorders>
          </w:tcPr>
          <w:p w:rsidR="00CA4D04" w:rsidRDefault="00CA4D04" w:rsidP="00CA4D04">
            <w:pPr>
              <w:pStyle w:val="TableParagraph"/>
              <w:ind w:left="210"/>
              <w:jc w:val="left"/>
            </w:pPr>
            <w:r>
              <w:rPr>
                <w:w w:val="99"/>
              </w:rPr>
              <w:t>9</w:t>
            </w:r>
          </w:p>
        </w:tc>
        <w:tc>
          <w:tcPr>
            <w:tcW w:w="2291" w:type="dxa"/>
          </w:tcPr>
          <w:p w:rsidR="00CA4D04" w:rsidRDefault="00CA4D04" w:rsidP="00CA4D04">
            <w:pPr>
              <w:pStyle w:val="TableParagraph"/>
              <w:ind w:left="219" w:right="196"/>
            </w:pPr>
            <w:r>
              <w:t>Berth length</w:t>
            </w:r>
          </w:p>
        </w:tc>
      </w:tr>
      <w:tr w:rsidR="00CA4D04" w:rsidTr="00CA4D04">
        <w:trPr>
          <w:trHeight w:val="269"/>
          <w:jc w:val="center"/>
        </w:trPr>
        <w:tc>
          <w:tcPr>
            <w:tcW w:w="2328" w:type="dxa"/>
            <w:vMerge/>
            <w:tcBorders>
              <w:top w:val="nil"/>
            </w:tcBorders>
          </w:tcPr>
          <w:p w:rsidR="00CA4D04" w:rsidRDefault="00CA4D04" w:rsidP="00CA4D04">
            <w:pPr>
              <w:rPr>
                <w:sz w:val="2"/>
                <w:szCs w:val="2"/>
              </w:rPr>
            </w:pPr>
          </w:p>
        </w:tc>
        <w:tc>
          <w:tcPr>
            <w:tcW w:w="467" w:type="dxa"/>
            <w:tcBorders>
              <w:right w:val="nil"/>
            </w:tcBorders>
          </w:tcPr>
          <w:p w:rsidR="00CA4D04" w:rsidRDefault="00CA4D04" w:rsidP="00CA4D04">
            <w:pPr>
              <w:pStyle w:val="TableParagraph"/>
              <w:spacing w:line="250" w:lineRule="exact"/>
              <w:ind w:right="33"/>
            </w:pPr>
            <w:r>
              <w:rPr>
                <w:w w:val="99"/>
              </w:rPr>
              <w:t>9</w:t>
            </w:r>
          </w:p>
        </w:tc>
        <w:tc>
          <w:tcPr>
            <w:tcW w:w="534" w:type="dxa"/>
            <w:tcBorders>
              <w:left w:val="nil"/>
              <w:right w:val="nil"/>
            </w:tcBorders>
          </w:tcPr>
          <w:p w:rsidR="00CA4D04" w:rsidRDefault="00CA4D04" w:rsidP="00CA4D04">
            <w:pPr>
              <w:pStyle w:val="TableParagraph"/>
              <w:spacing w:line="250" w:lineRule="exact"/>
              <w:ind w:right="12"/>
            </w:pPr>
            <w:r>
              <w:rPr>
                <w:w w:val="99"/>
              </w:rPr>
              <w:t>7</w:t>
            </w:r>
          </w:p>
        </w:tc>
        <w:tc>
          <w:tcPr>
            <w:tcW w:w="533" w:type="dxa"/>
            <w:tcBorders>
              <w:left w:val="nil"/>
              <w:right w:val="nil"/>
            </w:tcBorders>
          </w:tcPr>
          <w:p w:rsidR="00CA4D04" w:rsidRDefault="00CA4D04" w:rsidP="00CA4D04">
            <w:pPr>
              <w:pStyle w:val="TableParagraph"/>
              <w:spacing w:line="250" w:lineRule="exact"/>
              <w:ind w:left="39"/>
            </w:pPr>
            <w:r>
              <w:rPr>
                <w:w w:val="99"/>
              </w:rPr>
              <w:t>5</w:t>
            </w:r>
          </w:p>
        </w:tc>
        <w:tc>
          <w:tcPr>
            <w:tcW w:w="682" w:type="dxa"/>
            <w:tcBorders>
              <w:left w:val="nil"/>
              <w:right w:val="nil"/>
            </w:tcBorders>
          </w:tcPr>
          <w:p w:rsidR="00CA4D04" w:rsidRDefault="00CA4D04" w:rsidP="00CA4D04">
            <w:pPr>
              <w:pStyle w:val="TableParagraph"/>
              <w:spacing w:line="250" w:lineRule="exact"/>
              <w:ind w:left="205"/>
              <w:jc w:val="left"/>
            </w:pPr>
            <w:r>
              <w:rPr>
                <w:w w:val="99"/>
              </w:rPr>
              <w:t>3</w:t>
            </w:r>
          </w:p>
        </w:tc>
        <w:tc>
          <w:tcPr>
            <w:tcW w:w="882" w:type="dxa"/>
            <w:tcBorders>
              <w:left w:val="nil"/>
              <w:right w:val="nil"/>
            </w:tcBorders>
          </w:tcPr>
          <w:p w:rsidR="00CA4D04" w:rsidRDefault="00CA4D04" w:rsidP="00CA4D04">
            <w:pPr>
              <w:pStyle w:val="TableParagraph"/>
              <w:spacing w:line="250" w:lineRule="exact"/>
              <w:ind w:right="5"/>
            </w:pPr>
            <w:r>
              <w:rPr>
                <w:w w:val="99"/>
              </w:rPr>
              <w:t>1</w:t>
            </w:r>
          </w:p>
        </w:tc>
        <w:tc>
          <w:tcPr>
            <w:tcW w:w="708" w:type="dxa"/>
            <w:tcBorders>
              <w:left w:val="nil"/>
              <w:right w:val="nil"/>
            </w:tcBorders>
          </w:tcPr>
          <w:p w:rsidR="00CA4D04" w:rsidRDefault="00CA4D04" w:rsidP="00CA4D04">
            <w:pPr>
              <w:pStyle w:val="TableParagraph"/>
              <w:spacing w:line="250" w:lineRule="exact"/>
              <w:ind w:right="187"/>
              <w:jc w:val="right"/>
            </w:pPr>
            <w:r>
              <w:rPr>
                <w:w w:val="99"/>
              </w:rPr>
              <w:t>3</w:t>
            </w:r>
          </w:p>
        </w:tc>
        <w:tc>
          <w:tcPr>
            <w:tcW w:w="509" w:type="dxa"/>
            <w:tcBorders>
              <w:left w:val="nil"/>
              <w:right w:val="nil"/>
            </w:tcBorders>
          </w:tcPr>
          <w:p w:rsidR="00CA4D04" w:rsidRDefault="00CA4D04" w:rsidP="00CA4D04">
            <w:pPr>
              <w:pStyle w:val="TableParagraph"/>
              <w:spacing w:line="250" w:lineRule="exact"/>
              <w:ind w:left="20"/>
            </w:pPr>
            <w:r>
              <w:rPr>
                <w:w w:val="99"/>
              </w:rPr>
              <w:t>5</w:t>
            </w:r>
          </w:p>
        </w:tc>
        <w:tc>
          <w:tcPr>
            <w:tcW w:w="508" w:type="dxa"/>
            <w:tcBorders>
              <w:left w:val="nil"/>
              <w:right w:val="nil"/>
            </w:tcBorders>
          </w:tcPr>
          <w:p w:rsidR="00CA4D04" w:rsidRDefault="00CA4D04" w:rsidP="00CA4D04">
            <w:pPr>
              <w:pStyle w:val="TableParagraph"/>
              <w:spacing w:line="250" w:lineRule="exact"/>
              <w:ind w:left="22"/>
            </w:pPr>
            <w:r>
              <w:rPr>
                <w:w w:val="99"/>
              </w:rPr>
              <w:t>7</w:t>
            </w:r>
          </w:p>
        </w:tc>
        <w:tc>
          <w:tcPr>
            <w:tcW w:w="673" w:type="dxa"/>
            <w:tcBorders>
              <w:left w:val="nil"/>
            </w:tcBorders>
          </w:tcPr>
          <w:p w:rsidR="00CA4D04" w:rsidRDefault="00CA4D04" w:rsidP="00CA4D04">
            <w:pPr>
              <w:pStyle w:val="TableParagraph"/>
              <w:spacing w:line="250" w:lineRule="exact"/>
              <w:ind w:left="210"/>
              <w:jc w:val="left"/>
            </w:pPr>
            <w:r>
              <w:rPr>
                <w:w w:val="99"/>
              </w:rPr>
              <w:t>9</w:t>
            </w:r>
          </w:p>
        </w:tc>
        <w:tc>
          <w:tcPr>
            <w:tcW w:w="2291" w:type="dxa"/>
          </w:tcPr>
          <w:p w:rsidR="00CA4D04" w:rsidRDefault="00CA4D04" w:rsidP="00CA4D04">
            <w:pPr>
              <w:pStyle w:val="TableParagraph"/>
              <w:spacing w:line="250" w:lineRule="exact"/>
              <w:ind w:left="220" w:right="195"/>
            </w:pPr>
            <w:r>
              <w:t>Draught</w:t>
            </w:r>
          </w:p>
        </w:tc>
      </w:tr>
    </w:tbl>
    <w:p w:rsidR="009A7C0F" w:rsidRDefault="009A7C0F" w:rsidP="009A7C0F">
      <w:pPr>
        <w:ind w:left="1276" w:right="1288"/>
        <w:jc w:val="both"/>
      </w:pPr>
    </w:p>
    <w:p w:rsidR="006D181B" w:rsidRPr="009A7C0F" w:rsidRDefault="00CA4D04" w:rsidP="00CA4D04">
      <w:pPr>
        <w:pStyle w:val="Heading1"/>
        <w:ind w:left="0" w:right="48"/>
        <w:jc w:val="center"/>
        <w:rPr>
          <w:b w:val="0"/>
          <w:sz w:val="22"/>
          <w:szCs w:val="22"/>
        </w:rPr>
      </w:pPr>
      <w:r>
        <w:rPr>
          <w:rFonts w:hint="cs"/>
          <w:b w:val="0"/>
          <w:sz w:val="22"/>
          <w:szCs w:val="22"/>
        </w:rPr>
        <w:t>Table</w:t>
      </w:r>
      <w:r w:rsidRPr="009A7C0F">
        <w:rPr>
          <w:b w:val="0"/>
          <w:sz w:val="22"/>
          <w:szCs w:val="22"/>
        </w:rPr>
        <w:t xml:space="preserve"> 1: FAHP Q</w:t>
      </w:r>
      <w:r>
        <w:rPr>
          <w:rFonts w:hint="cs"/>
          <w:b w:val="0"/>
          <w:sz w:val="22"/>
          <w:szCs w:val="22"/>
        </w:rPr>
        <w:t>uestionnaire Form</w:t>
      </w:r>
    </w:p>
    <w:p w:rsidR="006D181B" w:rsidRPr="009A7C0F" w:rsidRDefault="006D181B" w:rsidP="004046B0">
      <w:pPr>
        <w:pStyle w:val="BodyText"/>
        <w:ind w:left="1276" w:right="1288"/>
        <w:rPr>
          <w:b/>
          <w:sz w:val="21"/>
        </w:rPr>
      </w:pPr>
    </w:p>
    <w:p w:rsidR="006D181B" w:rsidRPr="009A7C0F" w:rsidRDefault="00CA4D04" w:rsidP="00CA4D04">
      <w:pPr>
        <w:pStyle w:val="BodyText"/>
        <w:ind w:right="48"/>
        <w:jc w:val="both"/>
      </w:pPr>
      <w:r w:rsidRPr="009A7C0F">
        <w:t>Once judgments are entered by the group of experts, the level of consistency of responses will be tested. To verify the consistency of the comparison matrix, consistency index (CI) and consistency ratio (CR) are calculated using Saaty’s method (Saaty and Kearns,</w:t>
      </w:r>
      <w:r w:rsidRPr="009A7C0F">
        <w:rPr>
          <w:spacing w:val="-4"/>
        </w:rPr>
        <w:t xml:space="preserve"> </w:t>
      </w:r>
      <w:r w:rsidRPr="009A7C0F">
        <w:t>1985).</w:t>
      </w:r>
    </w:p>
    <w:p w:rsidR="006D181B" w:rsidRPr="009A7C0F" w:rsidRDefault="006D181B" w:rsidP="004046B0">
      <w:pPr>
        <w:pStyle w:val="BodyText"/>
        <w:ind w:right="48"/>
        <w:rPr>
          <w:sz w:val="21"/>
        </w:rPr>
      </w:pPr>
    </w:p>
    <w:p w:rsidR="006D181B" w:rsidRPr="009A7C0F" w:rsidRDefault="00CA4D04" w:rsidP="00CA4D04">
      <w:pPr>
        <w:pStyle w:val="BodyText"/>
        <w:ind w:right="48"/>
        <w:jc w:val="both"/>
      </w:pPr>
      <w:r w:rsidRPr="009A7C0F">
        <w:t>For any metrics, if the value of the CR is smaller or equal to 10%, the inconsistency is acceptable (Mu and Rojas, 2017); while if the CR is greater than 10%, the pair-wise comparison processes should be repeated until the consistency ratio reaches less than 0.1 (Triantaphyllou and Mann,</w:t>
      </w:r>
      <w:r w:rsidRPr="009A7C0F">
        <w:rPr>
          <w:spacing w:val="-12"/>
        </w:rPr>
        <w:t xml:space="preserve"> </w:t>
      </w:r>
      <w:r w:rsidRPr="009A7C0F">
        <w:t>1995).</w:t>
      </w:r>
    </w:p>
    <w:p w:rsidR="009A7C0F" w:rsidRDefault="009A7C0F" w:rsidP="00CA4D04">
      <w:pPr>
        <w:pStyle w:val="Heading2"/>
        <w:spacing w:before="39"/>
        <w:ind w:left="1276" w:right="1288" w:firstLine="0"/>
      </w:pPr>
    </w:p>
    <w:p w:rsidR="006D181B" w:rsidRPr="009A7C0F" w:rsidRDefault="00CA4D04" w:rsidP="004046B0">
      <w:pPr>
        <w:pStyle w:val="Heading2"/>
        <w:ind w:left="0" w:right="48" w:firstLine="0"/>
      </w:pPr>
      <w:r w:rsidRPr="009A7C0F">
        <w:t>Step three: Establish a performance rating scale to evaluate each efficiency criterion</w:t>
      </w:r>
    </w:p>
    <w:p w:rsidR="006D181B" w:rsidRPr="009A7C0F" w:rsidRDefault="00CA4D04" w:rsidP="00CA4D04">
      <w:pPr>
        <w:pStyle w:val="BodyText"/>
        <w:ind w:right="48"/>
        <w:jc w:val="both"/>
      </w:pPr>
      <w:r w:rsidRPr="009A7C0F">
        <w:t xml:space="preserve">A five-point performance rating scale (very poor, poor, good, very good and excellent) is established based on container ship features to evaluate the five efficiency criteria in order to assess the efficiency of a </w:t>
      </w:r>
      <w:r w:rsidRPr="009A7C0F">
        <w:lastRenderedPageBreak/>
        <w:t>container port. A performance rate (R) is assigned for each criteria (0.2, 0.4, 0.6, 0.8 or 1), where 0.2 denotes very poor performance, 0.4 denotes poor performance, 0.6 denotes good performance, 0.8 denotes very good performance and 1 denotes excellent</w:t>
      </w:r>
      <w:r w:rsidRPr="009A7C0F">
        <w:rPr>
          <w:spacing w:val="-5"/>
        </w:rPr>
        <w:t xml:space="preserve"> </w:t>
      </w:r>
      <w:r w:rsidRPr="009A7C0F">
        <w:t>performance.</w:t>
      </w:r>
    </w:p>
    <w:p w:rsidR="006D181B" w:rsidRPr="009A7C0F" w:rsidRDefault="006D181B" w:rsidP="004046B0">
      <w:pPr>
        <w:pStyle w:val="BodyText"/>
        <w:ind w:right="48"/>
      </w:pPr>
    </w:p>
    <w:p w:rsidR="006D181B" w:rsidRPr="009A7C0F" w:rsidRDefault="00CA4D04" w:rsidP="00CA4D04">
      <w:pPr>
        <w:pStyle w:val="Heading2"/>
        <w:ind w:left="0" w:right="48" w:firstLine="0"/>
      </w:pPr>
      <w:r w:rsidRPr="009A7C0F">
        <w:t>Step four: Calculate the efficiency index of a container port</w:t>
      </w:r>
    </w:p>
    <w:p w:rsidR="006D181B" w:rsidRPr="009A7C0F" w:rsidRDefault="00CA4D04" w:rsidP="00CA4D04">
      <w:pPr>
        <w:pStyle w:val="BodyText"/>
        <w:ind w:right="48"/>
        <w:jc w:val="both"/>
      </w:pPr>
      <w:r w:rsidRPr="009A7C0F">
        <w:t>After determining the performance rate (R) and the relative weight (W) of each criterion, the weighted rate (WR) of each criterion is calculated by multiplying the relative weight of each criterion by its performance rate. Finally, the weighted rates of all criteria are aggregated using a weighted average aggregation method to determine the efficiency index of a container port and rank it compared to indices of other ports.</w:t>
      </w:r>
    </w:p>
    <w:p w:rsidR="006D181B" w:rsidRPr="009A7C0F" w:rsidRDefault="006D181B" w:rsidP="004046B0">
      <w:pPr>
        <w:pStyle w:val="BodyText"/>
        <w:ind w:right="48"/>
      </w:pPr>
    </w:p>
    <w:p w:rsidR="006D181B" w:rsidRPr="009A7C0F" w:rsidRDefault="00CA4D04" w:rsidP="00CA4D04">
      <w:pPr>
        <w:pStyle w:val="Heading2"/>
        <w:numPr>
          <w:ilvl w:val="0"/>
          <w:numId w:val="4"/>
        </w:numPr>
        <w:ind w:left="284" w:right="48" w:hanging="295"/>
        <w:jc w:val="left"/>
      </w:pPr>
      <w:r w:rsidRPr="009A7C0F">
        <w:rPr>
          <w:u w:val="single"/>
        </w:rPr>
        <w:t>Empirical</w:t>
      </w:r>
      <w:r w:rsidRPr="009A7C0F">
        <w:rPr>
          <w:spacing w:val="-2"/>
          <w:u w:val="single"/>
        </w:rPr>
        <w:t xml:space="preserve"> </w:t>
      </w:r>
      <w:r w:rsidRPr="009A7C0F">
        <w:rPr>
          <w:u w:val="single"/>
        </w:rPr>
        <w:t>study</w:t>
      </w:r>
    </w:p>
    <w:p w:rsidR="006D181B" w:rsidRPr="009A7C0F" w:rsidRDefault="00CA4D04" w:rsidP="00CA4D04">
      <w:pPr>
        <w:pStyle w:val="BodyText"/>
        <w:ind w:right="48"/>
        <w:jc w:val="both"/>
      </w:pPr>
      <w:r w:rsidRPr="009A7C0F">
        <w:t>Egypt has a primary role in the world supply chain because of its geographic position, being at the intersection of the main maritime flows between East and West of the northern hemisphere. Furthermore, it features some of the major African ports such as Alexandria, Damietta and Port Said (Elsayeh, 2015). Egypt is identified as one of the busiest parts of the continent for maritime trade. The position of countries within global container shipping networks is reflected in the UNCTAD liner shipping connectivity index. In May 2016, Egypt was one of the best-connected countries in Africa (UNCTAD, 2017).</w:t>
      </w:r>
    </w:p>
    <w:p w:rsidR="006D181B" w:rsidRPr="009A7C0F" w:rsidRDefault="006D181B" w:rsidP="00CA4D04">
      <w:pPr>
        <w:pStyle w:val="BodyText"/>
        <w:ind w:left="1276" w:right="1288"/>
      </w:pPr>
    </w:p>
    <w:p w:rsidR="006D181B" w:rsidRPr="009A7C0F" w:rsidRDefault="00CA4D04" w:rsidP="00CA4D04">
      <w:pPr>
        <w:pStyle w:val="BodyText"/>
        <w:ind w:right="48"/>
        <w:jc w:val="both"/>
      </w:pPr>
      <w:r w:rsidRPr="009A7C0F">
        <w:t>Egypt has six main container ports as clarified in Egyptian Maritime Data Bank (EMDB) (2015): Alexandria port, El Dekheila port, Damietta port, Port Said port, East Port Said port and Sokhna port. Alexandria port is situated on the western end of the Nile Delta between the Mediterranean Sea and the Mariut Lake. It is considered the main port in Egypt and handles over three-quarters of Egypt’s foreign trade. El Dekheila port is a natural extension of Alexandria port. Damietta port is located at about 10 Km west of the Nile River and about 70 Km west of Port Said port. Port Said port is located on the northern entrance of the Gulf of Suez. It is considered one of the most important Egyptian ports on the Mediterranean Sea due to its geographical site where it is located on the Eastern entrance of the Suez Canal. East Port Said port has ranked number 41 of the top 50 world container ports in 2015 with 3.60 million TEUs (</w:t>
      </w:r>
      <w:hyperlink r:id="rId8">
        <w:r w:rsidRPr="009A7C0F">
          <w:t xml:space="preserve">worldshipping.org, </w:t>
        </w:r>
      </w:hyperlink>
      <w:r w:rsidRPr="009A7C0F">
        <w:t>2018). Sokhna port is located on the western coast of the Gulf of</w:t>
      </w:r>
      <w:r w:rsidRPr="009A7C0F">
        <w:rPr>
          <w:spacing w:val="-35"/>
        </w:rPr>
        <w:t xml:space="preserve"> </w:t>
      </w:r>
      <w:r w:rsidRPr="009A7C0F">
        <w:t>Suez.</w:t>
      </w:r>
    </w:p>
    <w:p w:rsidR="006D181B" w:rsidRPr="009A7C0F" w:rsidRDefault="006D181B" w:rsidP="00CA4D04">
      <w:pPr>
        <w:pStyle w:val="BodyText"/>
        <w:ind w:left="1276" w:right="1288"/>
      </w:pPr>
    </w:p>
    <w:p w:rsidR="006D181B" w:rsidRPr="009A7C0F" w:rsidRDefault="00CA4D04" w:rsidP="00CA4D04">
      <w:pPr>
        <w:pStyle w:val="BodyText"/>
        <w:ind w:right="48"/>
        <w:jc w:val="both"/>
      </w:pPr>
      <w:r w:rsidRPr="009A7C0F">
        <w:t>This paper focuses on the six main container ports in Egypt to conduct the empirical study. To demonstrate the applicability of the developed framework, it has been applied on the six main Egyptian container ports based on port capacity data between 2012 and 2016 collected from Egyptian Maritime Data Bank.</w:t>
      </w:r>
    </w:p>
    <w:p w:rsidR="006D181B" w:rsidRPr="009A7C0F" w:rsidRDefault="006D181B" w:rsidP="00CA4D04">
      <w:pPr>
        <w:pStyle w:val="BodyText"/>
        <w:ind w:right="48"/>
      </w:pPr>
    </w:p>
    <w:p w:rsidR="006D181B" w:rsidRPr="009A7C0F" w:rsidRDefault="00CA4D04" w:rsidP="00CA4D04">
      <w:pPr>
        <w:pStyle w:val="BodyText"/>
        <w:ind w:right="48"/>
        <w:jc w:val="both"/>
      </w:pPr>
      <w:r w:rsidRPr="009A7C0F">
        <w:t>The FAHP survey was carried out to determine the relative importance weight (W) of efficiency criteria in the Egyptian container ports. The survey was conducted with a group of 52 experts and decision- makers in the field from: (Egyptian navy, Egyptian Port Authority, shipping companies, shipping agencies and Academic experts in the field). After removing the invalid surveys, responses were analysed using Microsoft Excel Spreadsheets and PopTools add-in (version 3.2 (build 5)) to determine the relative importance weight of each criterion (Hood,</w:t>
      </w:r>
      <w:r w:rsidRPr="009A7C0F">
        <w:rPr>
          <w:spacing w:val="-3"/>
        </w:rPr>
        <w:t xml:space="preserve"> </w:t>
      </w:r>
      <w:r w:rsidRPr="009A7C0F">
        <w:t>2010).</w:t>
      </w:r>
    </w:p>
    <w:p w:rsidR="006D181B" w:rsidRPr="009A7C0F" w:rsidRDefault="006D181B" w:rsidP="004046B0">
      <w:pPr>
        <w:pStyle w:val="BodyText"/>
        <w:ind w:right="48"/>
      </w:pPr>
    </w:p>
    <w:p w:rsidR="006D181B" w:rsidRPr="009A7C0F" w:rsidRDefault="00CA4D04" w:rsidP="00CA4D04">
      <w:pPr>
        <w:pStyle w:val="BodyText"/>
        <w:ind w:right="48"/>
        <w:jc w:val="both"/>
      </w:pPr>
      <w:r w:rsidRPr="009A7C0F">
        <w:t>Table 2 illustrates the relative importance weights of the five main criteria based on survey responses. The results revealed that draught has the highest relative importance weight since draft is a</w:t>
      </w:r>
      <w:r w:rsidR="009A7C0F">
        <w:rPr>
          <w:rFonts w:hint="cs"/>
        </w:rPr>
        <w:t xml:space="preserve"> </w:t>
      </w:r>
      <w:r w:rsidRPr="009A7C0F">
        <w:t>significant factor limiting navigable waterways, especially for large vessels which require deeper draft to attract bigger ships. Handling equipment had the second priority with relative importance weight 29% since effective handling equipment reduces time in port and increases ships call numbers. Storage capacity was placed in the third position with 17% relative importance weight, while both terminal area and berth length approximately had the same relative importance weight presenting the fourth priority.</w:t>
      </w: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330"/>
        <w:gridCol w:w="991"/>
        <w:gridCol w:w="860"/>
      </w:tblGrid>
      <w:tr w:rsidR="00CA4D04" w:rsidTr="00CA4D04">
        <w:trPr>
          <w:trHeight w:val="268"/>
          <w:jc w:val="center"/>
        </w:trPr>
        <w:tc>
          <w:tcPr>
            <w:tcW w:w="3330" w:type="dxa"/>
          </w:tcPr>
          <w:p w:rsidR="00CA4D04" w:rsidRDefault="00CA4D04" w:rsidP="00CA4D04">
            <w:pPr>
              <w:pStyle w:val="TableParagraph"/>
              <w:ind w:left="1305" w:right="1297"/>
              <w:rPr>
                <w:b/>
                <w:i/>
              </w:rPr>
            </w:pPr>
            <w:r>
              <w:rPr>
                <w:b/>
                <w:i/>
                <w:u w:val="single"/>
              </w:rPr>
              <w:lastRenderedPageBreak/>
              <w:t>Criteria</w:t>
            </w:r>
          </w:p>
        </w:tc>
        <w:tc>
          <w:tcPr>
            <w:tcW w:w="1851" w:type="dxa"/>
            <w:gridSpan w:val="2"/>
          </w:tcPr>
          <w:p w:rsidR="00CA4D04" w:rsidRDefault="00CA4D04" w:rsidP="00CA4D04">
            <w:pPr>
              <w:pStyle w:val="TableParagraph"/>
              <w:ind w:left="588"/>
              <w:jc w:val="left"/>
              <w:rPr>
                <w:b/>
                <w:i/>
              </w:rPr>
            </w:pPr>
            <w:r>
              <w:rPr>
                <w:b/>
                <w:i/>
                <w:u w:val="single"/>
              </w:rPr>
              <w:t>Priority</w:t>
            </w:r>
          </w:p>
        </w:tc>
      </w:tr>
      <w:tr w:rsidR="00CA4D04" w:rsidTr="00CA4D04">
        <w:trPr>
          <w:trHeight w:val="268"/>
          <w:jc w:val="center"/>
        </w:trPr>
        <w:tc>
          <w:tcPr>
            <w:tcW w:w="3330" w:type="dxa"/>
          </w:tcPr>
          <w:p w:rsidR="00CA4D04" w:rsidRDefault="00CA4D04" w:rsidP="00CA4D04">
            <w:pPr>
              <w:pStyle w:val="TableParagraph"/>
              <w:ind w:left="107"/>
              <w:jc w:val="left"/>
            </w:pPr>
            <w:r>
              <w:t>Storage capacity</w:t>
            </w:r>
          </w:p>
        </w:tc>
        <w:tc>
          <w:tcPr>
            <w:tcW w:w="991" w:type="dxa"/>
          </w:tcPr>
          <w:p w:rsidR="00CA4D04" w:rsidRDefault="00CA4D04" w:rsidP="00CA4D04">
            <w:pPr>
              <w:pStyle w:val="TableParagraph"/>
              <w:ind w:left="284" w:right="275"/>
            </w:pPr>
            <w:r>
              <w:t>17%</w:t>
            </w:r>
          </w:p>
        </w:tc>
        <w:tc>
          <w:tcPr>
            <w:tcW w:w="860" w:type="dxa"/>
          </w:tcPr>
          <w:p w:rsidR="00CA4D04" w:rsidRDefault="00CA4D04" w:rsidP="00CA4D04">
            <w:pPr>
              <w:pStyle w:val="TableParagraph"/>
              <w:ind w:left="10"/>
            </w:pPr>
            <w:r>
              <w:rPr>
                <w:w w:val="99"/>
              </w:rPr>
              <w:t>3</w:t>
            </w:r>
          </w:p>
        </w:tc>
      </w:tr>
      <w:tr w:rsidR="00CA4D04" w:rsidTr="00CA4D04">
        <w:trPr>
          <w:trHeight w:val="268"/>
          <w:jc w:val="center"/>
        </w:trPr>
        <w:tc>
          <w:tcPr>
            <w:tcW w:w="3330" w:type="dxa"/>
          </w:tcPr>
          <w:p w:rsidR="00CA4D04" w:rsidRDefault="00CA4D04" w:rsidP="00CA4D04">
            <w:pPr>
              <w:pStyle w:val="TableParagraph"/>
              <w:ind w:left="107"/>
              <w:jc w:val="left"/>
            </w:pPr>
            <w:r>
              <w:t>Terminal area</w:t>
            </w:r>
          </w:p>
        </w:tc>
        <w:tc>
          <w:tcPr>
            <w:tcW w:w="991" w:type="dxa"/>
          </w:tcPr>
          <w:p w:rsidR="00CA4D04" w:rsidRDefault="00CA4D04" w:rsidP="00CA4D04">
            <w:pPr>
              <w:pStyle w:val="TableParagraph"/>
              <w:ind w:left="284" w:right="275"/>
            </w:pPr>
            <w:r>
              <w:t>11%</w:t>
            </w:r>
          </w:p>
        </w:tc>
        <w:tc>
          <w:tcPr>
            <w:tcW w:w="860" w:type="dxa"/>
          </w:tcPr>
          <w:p w:rsidR="00CA4D04" w:rsidRDefault="00CA4D04" w:rsidP="00CA4D04">
            <w:pPr>
              <w:pStyle w:val="TableParagraph"/>
              <w:ind w:left="10"/>
            </w:pPr>
            <w:r>
              <w:rPr>
                <w:w w:val="99"/>
              </w:rPr>
              <w:t>5</w:t>
            </w:r>
          </w:p>
        </w:tc>
      </w:tr>
      <w:tr w:rsidR="00CA4D04" w:rsidTr="00CA4D04">
        <w:trPr>
          <w:trHeight w:val="268"/>
          <w:jc w:val="center"/>
        </w:trPr>
        <w:tc>
          <w:tcPr>
            <w:tcW w:w="3330" w:type="dxa"/>
          </w:tcPr>
          <w:p w:rsidR="00CA4D04" w:rsidRDefault="00CA4D04" w:rsidP="00CA4D04">
            <w:pPr>
              <w:pStyle w:val="TableParagraph"/>
              <w:ind w:left="107"/>
              <w:jc w:val="left"/>
            </w:pPr>
            <w:r>
              <w:t>Berth length</w:t>
            </w:r>
          </w:p>
        </w:tc>
        <w:tc>
          <w:tcPr>
            <w:tcW w:w="991" w:type="dxa"/>
          </w:tcPr>
          <w:p w:rsidR="00CA4D04" w:rsidRDefault="00CA4D04" w:rsidP="00CA4D04">
            <w:pPr>
              <w:pStyle w:val="TableParagraph"/>
              <w:ind w:left="284" w:right="275"/>
            </w:pPr>
            <w:r>
              <w:t>11%</w:t>
            </w:r>
          </w:p>
        </w:tc>
        <w:tc>
          <w:tcPr>
            <w:tcW w:w="860" w:type="dxa"/>
          </w:tcPr>
          <w:p w:rsidR="00CA4D04" w:rsidRDefault="00CA4D04" w:rsidP="00CA4D04">
            <w:pPr>
              <w:pStyle w:val="TableParagraph"/>
              <w:ind w:left="10"/>
            </w:pPr>
            <w:r>
              <w:rPr>
                <w:w w:val="99"/>
              </w:rPr>
              <w:t>4</w:t>
            </w:r>
          </w:p>
        </w:tc>
      </w:tr>
      <w:tr w:rsidR="00CA4D04" w:rsidTr="00CA4D04">
        <w:trPr>
          <w:trHeight w:val="268"/>
          <w:jc w:val="center"/>
        </w:trPr>
        <w:tc>
          <w:tcPr>
            <w:tcW w:w="3330" w:type="dxa"/>
          </w:tcPr>
          <w:p w:rsidR="00CA4D04" w:rsidRDefault="00CA4D04" w:rsidP="00CA4D04">
            <w:pPr>
              <w:pStyle w:val="TableParagraph"/>
              <w:ind w:left="107"/>
              <w:jc w:val="left"/>
            </w:pPr>
            <w:r>
              <w:t>Draught</w:t>
            </w:r>
          </w:p>
        </w:tc>
        <w:tc>
          <w:tcPr>
            <w:tcW w:w="991" w:type="dxa"/>
          </w:tcPr>
          <w:p w:rsidR="00CA4D04" w:rsidRDefault="00CA4D04" w:rsidP="00CA4D04">
            <w:pPr>
              <w:pStyle w:val="TableParagraph"/>
              <w:ind w:left="284" w:right="275"/>
            </w:pPr>
            <w:r>
              <w:t>32%</w:t>
            </w:r>
          </w:p>
        </w:tc>
        <w:tc>
          <w:tcPr>
            <w:tcW w:w="860" w:type="dxa"/>
          </w:tcPr>
          <w:p w:rsidR="00CA4D04" w:rsidRDefault="00CA4D04" w:rsidP="00CA4D04">
            <w:pPr>
              <w:pStyle w:val="TableParagraph"/>
              <w:ind w:left="10"/>
            </w:pPr>
            <w:r>
              <w:rPr>
                <w:w w:val="99"/>
              </w:rPr>
              <w:t>1</w:t>
            </w:r>
          </w:p>
        </w:tc>
      </w:tr>
      <w:tr w:rsidR="00CA4D04" w:rsidTr="00CA4D04">
        <w:trPr>
          <w:trHeight w:val="269"/>
          <w:jc w:val="center"/>
        </w:trPr>
        <w:tc>
          <w:tcPr>
            <w:tcW w:w="3330" w:type="dxa"/>
          </w:tcPr>
          <w:p w:rsidR="00CA4D04" w:rsidRDefault="00CA4D04" w:rsidP="00CA4D04">
            <w:pPr>
              <w:pStyle w:val="TableParagraph"/>
              <w:spacing w:line="249" w:lineRule="exact"/>
              <w:ind w:left="107"/>
              <w:jc w:val="left"/>
            </w:pPr>
            <w:r>
              <w:t>Handling equipment</w:t>
            </w:r>
          </w:p>
        </w:tc>
        <w:tc>
          <w:tcPr>
            <w:tcW w:w="991" w:type="dxa"/>
          </w:tcPr>
          <w:p w:rsidR="00CA4D04" w:rsidRDefault="00CA4D04" w:rsidP="00CA4D04">
            <w:pPr>
              <w:pStyle w:val="TableParagraph"/>
              <w:spacing w:line="249" w:lineRule="exact"/>
              <w:ind w:left="284" w:right="275"/>
            </w:pPr>
            <w:r>
              <w:t>29%</w:t>
            </w:r>
          </w:p>
        </w:tc>
        <w:tc>
          <w:tcPr>
            <w:tcW w:w="860" w:type="dxa"/>
          </w:tcPr>
          <w:p w:rsidR="00CA4D04" w:rsidRDefault="00CA4D04" w:rsidP="00CA4D04">
            <w:pPr>
              <w:pStyle w:val="TableParagraph"/>
              <w:spacing w:line="249" w:lineRule="exact"/>
              <w:ind w:left="10"/>
            </w:pPr>
            <w:r>
              <w:rPr>
                <w:w w:val="99"/>
              </w:rPr>
              <w:t>2</w:t>
            </w:r>
          </w:p>
        </w:tc>
      </w:tr>
    </w:tbl>
    <w:p w:rsidR="009A7C0F" w:rsidRDefault="009A7C0F" w:rsidP="009A7C0F">
      <w:pPr>
        <w:pStyle w:val="Heading1"/>
        <w:ind w:left="1276" w:right="1288"/>
        <w:jc w:val="center"/>
        <w:rPr>
          <w:b w:val="0"/>
          <w:sz w:val="22"/>
        </w:rPr>
      </w:pPr>
    </w:p>
    <w:p w:rsidR="006D181B" w:rsidRPr="009A7C0F" w:rsidRDefault="00CA4D04" w:rsidP="009A7C0F">
      <w:pPr>
        <w:pStyle w:val="Heading1"/>
        <w:ind w:left="0" w:right="48"/>
        <w:jc w:val="center"/>
        <w:rPr>
          <w:b w:val="0"/>
          <w:sz w:val="22"/>
        </w:rPr>
      </w:pPr>
      <w:r w:rsidRPr="009A7C0F">
        <w:rPr>
          <w:b w:val="0"/>
          <w:sz w:val="22"/>
        </w:rPr>
        <w:t>T</w:t>
      </w:r>
      <w:r>
        <w:rPr>
          <w:rFonts w:hint="cs"/>
          <w:b w:val="0"/>
          <w:sz w:val="22"/>
        </w:rPr>
        <w:t>able 2</w:t>
      </w:r>
      <w:r w:rsidRPr="009A7C0F">
        <w:rPr>
          <w:b w:val="0"/>
          <w:sz w:val="22"/>
        </w:rPr>
        <w:t>: R</w:t>
      </w:r>
      <w:r>
        <w:rPr>
          <w:rFonts w:hint="cs"/>
          <w:b w:val="0"/>
          <w:sz w:val="22"/>
        </w:rPr>
        <w:t xml:space="preserve">elative </w:t>
      </w:r>
      <w:r w:rsidRPr="009A7C0F">
        <w:rPr>
          <w:b w:val="0"/>
          <w:sz w:val="22"/>
        </w:rPr>
        <w:t>I</w:t>
      </w:r>
      <w:r>
        <w:rPr>
          <w:rFonts w:hint="cs"/>
          <w:b w:val="0"/>
          <w:sz w:val="22"/>
        </w:rPr>
        <w:t xml:space="preserve">mportance </w:t>
      </w:r>
      <w:r w:rsidRPr="009A7C0F">
        <w:rPr>
          <w:b w:val="0"/>
          <w:sz w:val="22"/>
        </w:rPr>
        <w:t>W</w:t>
      </w:r>
      <w:r>
        <w:rPr>
          <w:rFonts w:hint="cs"/>
          <w:b w:val="0"/>
          <w:sz w:val="22"/>
        </w:rPr>
        <w:t xml:space="preserve">eights </w:t>
      </w:r>
      <w:r>
        <w:rPr>
          <w:b w:val="0"/>
          <w:sz w:val="22"/>
        </w:rPr>
        <w:t>of the</w:t>
      </w:r>
      <w:r w:rsidRPr="009A7C0F">
        <w:rPr>
          <w:b w:val="0"/>
          <w:sz w:val="22"/>
        </w:rPr>
        <w:t xml:space="preserve"> C</w:t>
      </w:r>
      <w:r>
        <w:rPr>
          <w:rFonts w:hint="cs"/>
          <w:b w:val="0"/>
          <w:sz w:val="22"/>
        </w:rPr>
        <w:t>ontainer Port Efficiency Criteria</w:t>
      </w:r>
    </w:p>
    <w:p w:rsidR="006D181B" w:rsidRPr="009A7C0F" w:rsidRDefault="006D181B" w:rsidP="009A7C0F">
      <w:pPr>
        <w:pStyle w:val="BodyText"/>
        <w:ind w:left="1276" w:right="1288"/>
        <w:rPr>
          <w:b/>
        </w:rPr>
      </w:pPr>
    </w:p>
    <w:p w:rsidR="006D181B" w:rsidRDefault="00CA4D04" w:rsidP="009A7C0F">
      <w:pPr>
        <w:pStyle w:val="BodyText"/>
        <w:ind w:right="48"/>
        <w:jc w:val="both"/>
      </w:pPr>
      <w:r w:rsidRPr="009A7C0F">
        <w:t>To verify the consistency of responses, CR and CI were calculated. As illustrated in table 3, the results revealed CR 0.02 which is lower than the maximum accepted Consistency Ratio (0.1) and ensures the consistency of the survey findings.</w:t>
      </w:r>
    </w:p>
    <w:p w:rsidR="00CA4D04" w:rsidRPr="009A7C0F" w:rsidRDefault="00CA4D04" w:rsidP="009A7C0F">
      <w:pPr>
        <w:pStyle w:val="BodyText"/>
        <w:ind w:right="48"/>
        <w:jc w:val="both"/>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927"/>
        <w:gridCol w:w="361"/>
        <w:gridCol w:w="1302"/>
        <w:gridCol w:w="1016"/>
        <w:gridCol w:w="1954"/>
      </w:tblGrid>
      <w:tr w:rsidR="00CA4D04" w:rsidTr="00CA4D04">
        <w:trPr>
          <w:trHeight w:val="310"/>
          <w:jc w:val="center"/>
        </w:trPr>
        <w:tc>
          <w:tcPr>
            <w:tcW w:w="6560" w:type="dxa"/>
            <w:gridSpan w:val="5"/>
          </w:tcPr>
          <w:p w:rsidR="00CA4D04" w:rsidRDefault="00CA4D04" w:rsidP="00CA4D04">
            <w:pPr>
              <w:pStyle w:val="TableParagraph"/>
              <w:spacing w:before="20" w:line="240" w:lineRule="auto"/>
              <w:ind w:left="2266" w:right="2257"/>
              <w:rPr>
                <w:b/>
                <w:i/>
              </w:rPr>
            </w:pPr>
            <w:r>
              <w:rPr>
                <w:b/>
                <w:i/>
                <w:u w:val="single"/>
              </w:rPr>
              <w:t>Consistency test table</w:t>
            </w:r>
          </w:p>
        </w:tc>
      </w:tr>
      <w:tr w:rsidR="00CA4D04" w:rsidTr="00CA4D04">
        <w:trPr>
          <w:trHeight w:val="268"/>
          <w:jc w:val="center"/>
        </w:trPr>
        <w:tc>
          <w:tcPr>
            <w:tcW w:w="1927" w:type="dxa"/>
          </w:tcPr>
          <w:p w:rsidR="00CA4D04" w:rsidRDefault="00CA4D04" w:rsidP="00CA4D04">
            <w:pPr>
              <w:pStyle w:val="TableParagraph"/>
              <w:ind w:left="357" w:right="349"/>
              <w:rPr>
                <w:b/>
              </w:rPr>
            </w:pPr>
            <w:r>
              <w:rPr>
                <w:b/>
              </w:rPr>
              <w:t>EIGENVALUE</w:t>
            </w:r>
          </w:p>
        </w:tc>
        <w:tc>
          <w:tcPr>
            <w:tcW w:w="361" w:type="dxa"/>
          </w:tcPr>
          <w:p w:rsidR="00CA4D04" w:rsidRDefault="00CA4D04" w:rsidP="00CA4D04">
            <w:pPr>
              <w:pStyle w:val="TableParagraph"/>
              <w:ind w:left="9"/>
              <w:rPr>
                <w:b/>
              </w:rPr>
            </w:pPr>
            <w:r>
              <w:rPr>
                <w:b/>
                <w:w w:val="99"/>
              </w:rPr>
              <w:t>N</w:t>
            </w:r>
          </w:p>
        </w:tc>
        <w:tc>
          <w:tcPr>
            <w:tcW w:w="1302" w:type="dxa"/>
          </w:tcPr>
          <w:p w:rsidR="00CA4D04" w:rsidRDefault="00CA4D04" w:rsidP="00CA4D04">
            <w:pPr>
              <w:pStyle w:val="TableParagraph"/>
              <w:ind w:left="157" w:right="146"/>
              <w:rPr>
                <w:b/>
              </w:rPr>
            </w:pPr>
            <w:r>
              <w:rPr>
                <w:b/>
              </w:rPr>
              <w:t>CI</w:t>
            </w:r>
          </w:p>
        </w:tc>
        <w:tc>
          <w:tcPr>
            <w:tcW w:w="1016" w:type="dxa"/>
          </w:tcPr>
          <w:p w:rsidR="00CA4D04" w:rsidRDefault="00CA4D04" w:rsidP="00CA4D04">
            <w:pPr>
              <w:pStyle w:val="TableParagraph"/>
              <w:ind w:left="292" w:right="282"/>
              <w:rPr>
                <w:b/>
              </w:rPr>
            </w:pPr>
            <w:r>
              <w:rPr>
                <w:b/>
              </w:rPr>
              <w:t>RI</w:t>
            </w:r>
          </w:p>
        </w:tc>
        <w:tc>
          <w:tcPr>
            <w:tcW w:w="1954" w:type="dxa"/>
          </w:tcPr>
          <w:p w:rsidR="00CA4D04" w:rsidRDefault="00CA4D04" w:rsidP="00CA4D04">
            <w:pPr>
              <w:pStyle w:val="TableParagraph"/>
              <w:ind w:left="371" w:right="360"/>
              <w:rPr>
                <w:b/>
              </w:rPr>
            </w:pPr>
            <w:r>
              <w:rPr>
                <w:b/>
              </w:rPr>
              <w:t>CR</w:t>
            </w:r>
          </w:p>
        </w:tc>
      </w:tr>
      <w:tr w:rsidR="00CA4D04" w:rsidTr="00CA4D04">
        <w:trPr>
          <w:trHeight w:val="269"/>
          <w:jc w:val="center"/>
        </w:trPr>
        <w:tc>
          <w:tcPr>
            <w:tcW w:w="1927" w:type="dxa"/>
          </w:tcPr>
          <w:p w:rsidR="00CA4D04" w:rsidRDefault="00CA4D04" w:rsidP="00CA4D04">
            <w:pPr>
              <w:pStyle w:val="TableParagraph"/>
              <w:spacing w:line="250" w:lineRule="exact"/>
              <w:ind w:left="357" w:right="349"/>
            </w:pPr>
            <w:r>
              <w:t>5.090550009</w:t>
            </w:r>
          </w:p>
        </w:tc>
        <w:tc>
          <w:tcPr>
            <w:tcW w:w="361" w:type="dxa"/>
          </w:tcPr>
          <w:p w:rsidR="00CA4D04" w:rsidRDefault="00CA4D04" w:rsidP="00CA4D04">
            <w:pPr>
              <w:pStyle w:val="TableParagraph"/>
              <w:spacing w:line="250" w:lineRule="exact"/>
              <w:ind w:left="9"/>
            </w:pPr>
            <w:r>
              <w:rPr>
                <w:w w:val="99"/>
              </w:rPr>
              <w:t>5</w:t>
            </w:r>
          </w:p>
        </w:tc>
        <w:tc>
          <w:tcPr>
            <w:tcW w:w="1302" w:type="dxa"/>
          </w:tcPr>
          <w:p w:rsidR="00CA4D04" w:rsidRDefault="00CA4D04" w:rsidP="00CA4D04">
            <w:pPr>
              <w:pStyle w:val="TableParagraph"/>
              <w:spacing w:line="250" w:lineRule="exact"/>
              <w:ind w:left="157" w:right="146"/>
            </w:pPr>
            <w:r>
              <w:t>0.0226375</w:t>
            </w:r>
          </w:p>
        </w:tc>
        <w:tc>
          <w:tcPr>
            <w:tcW w:w="1016" w:type="dxa"/>
          </w:tcPr>
          <w:p w:rsidR="00CA4D04" w:rsidRDefault="00CA4D04" w:rsidP="00CA4D04">
            <w:pPr>
              <w:pStyle w:val="TableParagraph"/>
              <w:spacing w:line="250" w:lineRule="exact"/>
              <w:ind w:left="293" w:right="282"/>
            </w:pPr>
            <w:r>
              <w:t>1.12</w:t>
            </w:r>
          </w:p>
        </w:tc>
        <w:tc>
          <w:tcPr>
            <w:tcW w:w="1954" w:type="dxa"/>
          </w:tcPr>
          <w:p w:rsidR="00CA4D04" w:rsidRDefault="00CA4D04" w:rsidP="00CA4D04">
            <w:pPr>
              <w:pStyle w:val="TableParagraph"/>
              <w:spacing w:line="250" w:lineRule="exact"/>
              <w:ind w:left="372" w:right="360"/>
            </w:pPr>
            <w:r>
              <w:t>0.020212056</w:t>
            </w:r>
          </w:p>
        </w:tc>
      </w:tr>
    </w:tbl>
    <w:p w:rsidR="006D181B" w:rsidRPr="009A7C0F" w:rsidRDefault="006D181B" w:rsidP="004046B0">
      <w:pPr>
        <w:pStyle w:val="BodyText"/>
        <w:ind w:right="48"/>
      </w:pPr>
    </w:p>
    <w:p w:rsidR="006D181B" w:rsidRDefault="00CA4D04" w:rsidP="00CA4D04">
      <w:pPr>
        <w:pStyle w:val="BodyText"/>
        <w:ind w:right="48"/>
      </w:pPr>
      <w:r w:rsidRPr="009A7C0F">
        <w:t>*Where N presents the number of criteria</w:t>
      </w:r>
    </w:p>
    <w:p w:rsidR="00CA4D04" w:rsidRPr="009A7C0F" w:rsidRDefault="00CA4D04" w:rsidP="00CA4D04">
      <w:pPr>
        <w:pStyle w:val="BodyText"/>
        <w:ind w:right="48"/>
      </w:pPr>
    </w:p>
    <w:p w:rsidR="006D181B" w:rsidRPr="009A7C0F" w:rsidRDefault="00CA4D04" w:rsidP="00CA4D04">
      <w:pPr>
        <w:pStyle w:val="Heading1"/>
        <w:ind w:left="0" w:right="48"/>
        <w:jc w:val="center"/>
        <w:rPr>
          <w:b w:val="0"/>
          <w:sz w:val="22"/>
          <w:szCs w:val="22"/>
        </w:rPr>
      </w:pPr>
      <w:r w:rsidRPr="009A7C0F">
        <w:rPr>
          <w:b w:val="0"/>
          <w:sz w:val="22"/>
          <w:szCs w:val="22"/>
        </w:rPr>
        <w:t>T</w:t>
      </w:r>
      <w:r>
        <w:rPr>
          <w:rFonts w:hint="cs"/>
          <w:b w:val="0"/>
          <w:sz w:val="22"/>
          <w:szCs w:val="22"/>
        </w:rPr>
        <w:t xml:space="preserve">able </w:t>
      </w:r>
      <w:r w:rsidRPr="009A7C0F">
        <w:rPr>
          <w:b w:val="0"/>
          <w:sz w:val="22"/>
          <w:szCs w:val="22"/>
        </w:rPr>
        <w:t>3: C</w:t>
      </w:r>
      <w:r>
        <w:rPr>
          <w:rFonts w:hint="cs"/>
          <w:b w:val="0"/>
          <w:sz w:val="22"/>
          <w:szCs w:val="22"/>
        </w:rPr>
        <w:t>onsistency Test Results</w:t>
      </w:r>
    </w:p>
    <w:p w:rsidR="006D181B" w:rsidRPr="009A7C0F" w:rsidRDefault="006D181B" w:rsidP="00CA4D04">
      <w:pPr>
        <w:pStyle w:val="BodyText"/>
        <w:spacing w:before="1"/>
        <w:ind w:right="48"/>
      </w:pPr>
    </w:p>
    <w:p w:rsidR="006D181B" w:rsidRPr="009A7C0F" w:rsidRDefault="00CA4D04" w:rsidP="00CA4D04">
      <w:pPr>
        <w:pStyle w:val="BodyText"/>
        <w:ind w:right="48"/>
        <w:jc w:val="both"/>
      </w:pPr>
      <w:r w:rsidRPr="009A7C0F">
        <w:t>A five-point performance rating scale was established to evaluate the efficiency criteria based on the features of "the Triple E container ship" which is the biggest container ship that can be handled in the Egyptian container ports. Finally, the weighted rates of all criteria in each port were calculated and aggregated to determine the efficiency index of each port. Table 4 shows the efficiency index of the Egyptian container ports based on the aggregated weighted rates of the five efficiency criteria.</w:t>
      </w:r>
    </w:p>
    <w:p w:rsidR="006D181B" w:rsidRDefault="006D181B" w:rsidP="00CA4D04">
      <w:pPr>
        <w:pStyle w:val="BodyText"/>
        <w:spacing w:before="1"/>
        <w:ind w:left="1276" w:right="1288"/>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260"/>
        <w:gridCol w:w="630"/>
        <w:gridCol w:w="540"/>
        <w:gridCol w:w="630"/>
        <w:gridCol w:w="630"/>
        <w:gridCol w:w="540"/>
        <w:gridCol w:w="630"/>
        <w:gridCol w:w="630"/>
        <w:gridCol w:w="540"/>
        <w:gridCol w:w="630"/>
        <w:gridCol w:w="630"/>
        <w:gridCol w:w="540"/>
        <w:gridCol w:w="630"/>
        <w:gridCol w:w="630"/>
        <w:gridCol w:w="540"/>
        <w:gridCol w:w="630"/>
        <w:gridCol w:w="754"/>
        <w:gridCol w:w="674"/>
      </w:tblGrid>
      <w:tr w:rsidR="00CA4D04" w:rsidTr="00CA4D04">
        <w:trPr>
          <w:trHeight w:val="537"/>
          <w:jc w:val="center"/>
        </w:trPr>
        <w:tc>
          <w:tcPr>
            <w:tcW w:w="1260" w:type="dxa"/>
            <w:vMerge w:val="restart"/>
          </w:tcPr>
          <w:p w:rsidR="00CA4D04" w:rsidRDefault="00CA4D04" w:rsidP="00CA4D04">
            <w:pPr>
              <w:pStyle w:val="TableParagraph"/>
              <w:spacing w:line="240" w:lineRule="auto"/>
              <w:ind w:left="107" w:right="267"/>
              <w:jc w:val="left"/>
            </w:pPr>
            <w:r>
              <w:t>Egyptian container ports/</w:t>
            </w:r>
          </w:p>
          <w:p w:rsidR="00CA4D04" w:rsidRDefault="00CA4D04" w:rsidP="00CA4D04">
            <w:pPr>
              <w:pStyle w:val="TableParagraph"/>
              <w:ind w:left="107"/>
              <w:jc w:val="left"/>
            </w:pPr>
            <w:r>
              <w:t>Criteria</w:t>
            </w:r>
          </w:p>
        </w:tc>
        <w:tc>
          <w:tcPr>
            <w:tcW w:w="1800" w:type="dxa"/>
            <w:gridSpan w:val="3"/>
          </w:tcPr>
          <w:p w:rsidR="00CA4D04" w:rsidRDefault="00CA4D04" w:rsidP="00CA4D04">
            <w:pPr>
              <w:pStyle w:val="TableParagraph"/>
              <w:spacing w:before="133" w:line="240" w:lineRule="auto"/>
              <w:ind w:left="164"/>
              <w:jc w:val="left"/>
            </w:pPr>
            <w:r>
              <w:t>Storage capacity</w:t>
            </w:r>
          </w:p>
        </w:tc>
        <w:tc>
          <w:tcPr>
            <w:tcW w:w="1800" w:type="dxa"/>
            <w:gridSpan w:val="3"/>
          </w:tcPr>
          <w:p w:rsidR="00CA4D04" w:rsidRDefault="00CA4D04" w:rsidP="00CA4D04">
            <w:pPr>
              <w:pStyle w:val="TableParagraph"/>
              <w:spacing w:before="133" w:line="240" w:lineRule="auto"/>
              <w:ind w:left="281"/>
              <w:jc w:val="left"/>
            </w:pPr>
            <w:r>
              <w:t>Terminal area</w:t>
            </w:r>
          </w:p>
        </w:tc>
        <w:tc>
          <w:tcPr>
            <w:tcW w:w="1800" w:type="dxa"/>
            <w:gridSpan w:val="3"/>
          </w:tcPr>
          <w:p w:rsidR="00CA4D04" w:rsidRDefault="00CA4D04" w:rsidP="00CA4D04">
            <w:pPr>
              <w:pStyle w:val="TableParagraph"/>
              <w:spacing w:before="133" w:line="240" w:lineRule="auto"/>
              <w:ind w:left="343"/>
              <w:jc w:val="left"/>
            </w:pPr>
            <w:r>
              <w:t>Berth length</w:t>
            </w:r>
          </w:p>
        </w:tc>
        <w:tc>
          <w:tcPr>
            <w:tcW w:w="1800" w:type="dxa"/>
            <w:gridSpan w:val="3"/>
          </w:tcPr>
          <w:p w:rsidR="00CA4D04" w:rsidRDefault="00CA4D04" w:rsidP="00CA4D04">
            <w:pPr>
              <w:pStyle w:val="TableParagraph"/>
              <w:spacing w:before="133" w:line="240" w:lineRule="auto"/>
              <w:ind w:left="537"/>
              <w:jc w:val="left"/>
            </w:pPr>
            <w:r>
              <w:t>Draught</w:t>
            </w:r>
          </w:p>
        </w:tc>
        <w:tc>
          <w:tcPr>
            <w:tcW w:w="1800" w:type="dxa"/>
            <w:gridSpan w:val="3"/>
          </w:tcPr>
          <w:p w:rsidR="00CA4D04" w:rsidRDefault="00CA4D04" w:rsidP="00CA4D04">
            <w:pPr>
              <w:pStyle w:val="TableParagraph"/>
              <w:spacing w:line="268" w:lineRule="exact"/>
              <w:ind w:left="503"/>
              <w:jc w:val="left"/>
            </w:pPr>
            <w:r>
              <w:t>Handling</w:t>
            </w:r>
          </w:p>
          <w:p w:rsidR="00CA4D04" w:rsidRDefault="00CA4D04" w:rsidP="00CA4D04">
            <w:pPr>
              <w:pStyle w:val="TableParagraph"/>
              <w:spacing w:line="249" w:lineRule="exact"/>
              <w:ind w:left="409"/>
              <w:jc w:val="left"/>
            </w:pPr>
            <w:r>
              <w:t>equipment</w:t>
            </w:r>
          </w:p>
        </w:tc>
        <w:tc>
          <w:tcPr>
            <w:tcW w:w="754" w:type="dxa"/>
            <w:vMerge w:val="restart"/>
          </w:tcPr>
          <w:p w:rsidR="00CA4D04" w:rsidRDefault="00CA4D04" w:rsidP="00CA4D04">
            <w:pPr>
              <w:pStyle w:val="TableParagraph"/>
              <w:spacing w:before="133" w:line="240" w:lineRule="auto"/>
              <w:ind w:left="134" w:right="122" w:firstLine="24"/>
              <w:jc w:val="both"/>
            </w:pPr>
            <w:r>
              <w:t>effici ency index</w:t>
            </w:r>
          </w:p>
        </w:tc>
        <w:tc>
          <w:tcPr>
            <w:tcW w:w="674" w:type="dxa"/>
            <w:vMerge w:val="restart"/>
          </w:tcPr>
          <w:p w:rsidR="00CA4D04" w:rsidRDefault="00CA4D04" w:rsidP="00CA4D04">
            <w:pPr>
              <w:pStyle w:val="TableParagraph"/>
              <w:spacing w:before="11" w:line="240" w:lineRule="auto"/>
              <w:jc w:val="left"/>
              <w:rPr>
                <w:sz w:val="32"/>
              </w:rPr>
            </w:pPr>
          </w:p>
          <w:p w:rsidR="00CA4D04" w:rsidRDefault="00CA4D04" w:rsidP="00CA4D04">
            <w:pPr>
              <w:pStyle w:val="TableParagraph"/>
              <w:spacing w:line="240" w:lineRule="auto"/>
              <w:ind w:left="117"/>
              <w:jc w:val="left"/>
            </w:pPr>
            <w:r>
              <w:t>Rank</w:t>
            </w:r>
          </w:p>
        </w:tc>
      </w:tr>
      <w:tr w:rsidR="00CA4D04" w:rsidTr="00CA4D04">
        <w:trPr>
          <w:trHeight w:val="526"/>
          <w:jc w:val="center"/>
        </w:trPr>
        <w:tc>
          <w:tcPr>
            <w:tcW w:w="1260" w:type="dxa"/>
            <w:vMerge/>
            <w:tcBorders>
              <w:top w:val="nil"/>
            </w:tcBorders>
          </w:tcPr>
          <w:p w:rsidR="00CA4D04" w:rsidRDefault="00CA4D04" w:rsidP="00CA4D04">
            <w:pPr>
              <w:rPr>
                <w:sz w:val="2"/>
                <w:szCs w:val="2"/>
              </w:rPr>
            </w:pPr>
          </w:p>
        </w:tc>
        <w:tc>
          <w:tcPr>
            <w:tcW w:w="630" w:type="dxa"/>
          </w:tcPr>
          <w:p w:rsidR="00CA4D04" w:rsidRDefault="00CA4D04" w:rsidP="00CA4D04">
            <w:pPr>
              <w:pStyle w:val="TableParagraph"/>
              <w:spacing w:before="128" w:line="240" w:lineRule="auto"/>
              <w:ind w:left="9"/>
            </w:pPr>
            <w:r>
              <w:rPr>
                <w:w w:val="99"/>
              </w:rPr>
              <w:t>W</w:t>
            </w:r>
          </w:p>
        </w:tc>
        <w:tc>
          <w:tcPr>
            <w:tcW w:w="540" w:type="dxa"/>
          </w:tcPr>
          <w:p w:rsidR="00CA4D04" w:rsidRDefault="00CA4D04" w:rsidP="00CA4D04">
            <w:pPr>
              <w:pStyle w:val="TableParagraph"/>
              <w:spacing w:before="128" w:line="240" w:lineRule="auto"/>
              <w:ind w:left="9"/>
            </w:pPr>
            <w:r>
              <w:rPr>
                <w:w w:val="99"/>
              </w:rPr>
              <w:t>R</w:t>
            </w:r>
          </w:p>
        </w:tc>
        <w:tc>
          <w:tcPr>
            <w:tcW w:w="630" w:type="dxa"/>
          </w:tcPr>
          <w:p w:rsidR="00CA4D04" w:rsidRDefault="00CA4D04" w:rsidP="00CA4D04">
            <w:pPr>
              <w:pStyle w:val="TableParagraph"/>
              <w:spacing w:before="128" w:line="240" w:lineRule="auto"/>
              <w:ind w:left="157"/>
              <w:jc w:val="left"/>
            </w:pPr>
            <w:r>
              <w:t>WR</w:t>
            </w:r>
          </w:p>
        </w:tc>
        <w:tc>
          <w:tcPr>
            <w:tcW w:w="630" w:type="dxa"/>
          </w:tcPr>
          <w:p w:rsidR="00CA4D04" w:rsidRDefault="00CA4D04" w:rsidP="00CA4D04">
            <w:pPr>
              <w:pStyle w:val="TableParagraph"/>
              <w:spacing w:before="128" w:line="240" w:lineRule="auto"/>
              <w:ind w:left="10"/>
            </w:pPr>
            <w:r>
              <w:rPr>
                <w:w w:val="99"/>
              </w:rPr>
              <w:t>W</w:t>
            </w:r>
          </w:p>
        </w:tc>
        <w:tc>
          <w:tcPr>
            <w:tcW w:w="540" w:type="dxa"/>
          </w:tcPr>
          <w:p w:rsidR="00CA4D04" w:rsidRDefault="00CA4D04" w:rsidP="00CA4D04">
            <w:pPr>
              <w:pStyle w:val="TableParagraph"/>
              <w:spacing w:before="128" w:line="240" w:lineRule="auto"/>
              <w:ind w:left="9"/>
            </w:pPr>
            <w:r>
              <w:rPr>
                <w:w w:val="99"/>
              </w:rPr>
              <w:t>R</w:t>
            </w:r>
          </w:p>
        </w:tc>
        <w:tc>
          <w:tcPr>
            <w:tcW w:w="630" w:type="dxa"/>
          </w:tcPr>
          <w:p w:rsidR="00CA4D04" w:rsidRDefault="00CA4D04" w:rsidP="00CA4D04">
            <w:pPr>
              <w:pStyle w:val="TableParagraph"/>
              <w:spacing w:before="128" w:line="240" w:lineRule="auto"/>
              <w:ind w:left="98" w:right="89"/>
            </w:pPr>
            <w:r>
              <w:t>WR</w:t>
            </w:r>
          </w:p>
        </w:tc>
        <w:tc>
          <w:tcPr>
            <w:tcW w:w="630" w:type="dxa"/>
          </w:tcPr>
          <w:p w:rsidR="00CA4D04" w:rsidRDefault="00CA4D04" w:rsidP="00CA4D04">
            <w:pPr>
              <w:pStyle w:val="TableParagraph"/>
              <w:spacing w:before="128" w:line="240" w:lineRule="auto"/>
              <w:ind w:left="10"/>
            </w:pPr>
            <w:r>
              <w:rPr>
                <w:w w:val="99"/>
              </w:rPr>
              <w:t>W</w:t>
            </w:r>
          </w:p>
        </w:tc>
        <w:tc>
          <w:tcPr>
            <w:tcW w:w="540" w:type="dxa"/>
          </w:tcPr>
          <w:p w:rsidR="00CA4D04" w:rsidRDefault="00CA4D04" w:rsidP="00CA4D04">
            <w:pPr>
              <w:pStyle w:val="TableParagraph"/>
              <w:spacing w:before="128" w:line="240" w:lineRule="auto"/>
              <w:ind w:left="10"/>
            </w:pPr>
            <w:r>
              <w:rPr>
                <w:w w:val="99"/>
              </w:rPr>
              <w:t>R</w:t>
            </w:r>
          </w:p>
        </w:tc>
        <w:tc>
          <w:tcPr>
            <w:tcW w:w="630" w:type="dxa"/>
          </w:tcPr>
          <w:p w:rsidR="00CA4D04" w:rsidRDefault="00CA4D04" w:rsidP="00CA4D04">
            <w:pPr>
              <w:pStyle w:val="TableParagraph"/>
              <w:spacing w:before="128" w:line="240" w:lineRule="auto"/>
              <w:ind w:left="157"/>
              <w:jc w:val="left"/>
            </w:pPr>
            <w:r>
              <w:t>WR</w:t>
            </w:r>
          </w:p>
        </w:tc>
        <w:tc>
          <w:tcPr>
            <w:tcW w:w="630" w:type="dxa"/>
          </w:tcPr>
          <w:p w:rsidR="00CA4D04" w:rsidRDefault="00CA4D04" w:rsidP="00CA4D04">
            <w:pPr>
              <w:pStyle w:val="TableParagraph"/>
              <w:spacing w:before="128" w:line="240" w:lineRule="auto"/>
              <w:ind w:left="10"/>
            </w:pPr>
            <w:r>
              <w:rPr>
                <w:w w:val="99"/>
              </w:rPr>
              <w:t>W</w:t>
            </w:r>
          </w:p>
        </w:tc>
        <w:tc>
          <w:tcPr>
            <w:tcW w:w="540" w:type="dxa"/>
          </w:tcPr>
          <w:p w:rsidR="00CA4D04" w:rsidRDefault="00CA4D04" w:rsidP="00CA4D04">
            <w:pPr>
              <w:pStyle w:val="TableParagraph"/>
              <w:spacing w:before="128" w:line="240" w:lineRule="auto"/>
              <w:ind w:left="10"/>
            </w:pPr>
            <w:r>
              <w:rPr>
                <w:w w:val="99"/>
              </w:rPr>
              <w:t>R</w:t>
            </w:r>
          </w:p>
        </w:tc>
        <w:tc>
          <w:tcPr>
            <w:tcW w:w="630" w:type="dxa"/>
          </w:tcPr>
          <w:p w:rsidR="00CA4D04" w:rsidRDefault="00CA4D04" w:rsidP="00CA4D04">
            <w:pPr>
              <w:pStyle w:val="TableParagraph"/>
              <w:spacing w:before="128" w:line="240" w:lineRule="auto"/>
              <w:ind w:left="99" w:right="89"/>
            </w:pPr>
            <w:r>
              <w:t>WR</w:t>
            </w:r>
          </w:p>
        </w:tc>
        <w:tc>
          <w:tcPr>
            <w:tcW w:w="630" w:type="dxa"/>
          </w:tcPr>
          <w:p w:rsidR="00CA4D04" w:rsidRDefault="00CA4D04" w:rsidP="00CA4D04">
            <w:pPr>
              <w:pStyle w:val="TableParagraph"/>
              <w:spacing w:before="128" w:line="240" w:lineRule="auto"/>
              <w:ind w:left="10"/>
            </w:pPr>
            <w:r>
              <w:rPr>
                <w:w w:val="99"/>
              </w:rPr>
              <w:t>W</w:t>
            </w:r>
          </w:p>
        </w:tc>
        <w:tc>
          <w:tcPr>
            <w:tcW w:w="540" w:type="dxa"/>
          </w:tcPr>
          <w:p w:rsidR="00CA4D04" w:rsidRDefault="00CA4D04" w:rsidP="00CA4D04">
            <w:pPr>
              <w:pStyle w:val="TableParagraph"/>
              <w:spacing w:before="128" w:line="240" w:lineRule="auto"/>
              <w:ind w:left="11"/>
            </w:pPr>
            <w:r>
              <w:rPr>
                <w:w w:val="99"/>
              </w:rPr>
              <w:t>R</w:t>
            </w:r>
          </w:p>
        </w:tc>
        <w:tc>
          <w:tcPr>
            <w:tcW w:w="630" w:type="dxa"/>
          </w:tcPr>
          <w:p w:rsidR="00CA4D04" w:rsidRDefault="00CA4D04" w:rsidP="00CA4D04">
            <w:pPr>
              <w:pStyle w:val="TableParagraph"/>
              <w:spacing w:before="128" w:line="240" w:lineRule="auto"/>
              <w:ind w:left="158"/>
              <w:jc w:val="left"/>
            </w:pPr>
            <w:r>
              <w:t>WR</w:t>
            </w:r>
          </w:p>
        </w:tc>
        <w:tc>
          <w:tcPr>
            <w:tcW w:w="754" w:type="dxa"/>
            <w:vMerge/>
            <w:tcBorders>
              <w:top w:val="nil"/>
            </w:tcBorders>
          </w:tcPr>
          <w:p w:rsidR="00CA4D04" w:rsidRDefault="00CA4D04" w:rsidP="00CA4D04">
            <w:pPr>
              <w:rPr>
                <w:sz w:val="2"/>
                <w:szCs w:val="2"/>
              </w:rPr>
            </w:pPr>
          </w:p>
        </w:tc>
        <w:tc>
          <w:tcPr>
            <w:tcW w:w="674" w:type="dxa"/>
            <w:vMerge/>
            <w:tcBorders>
              <w:top w:val="nil"/>
            </w:tcBorders>
          </w:tcPr>
          <w:p w:rsidR="00CA4D04" w:rsidRDefault="00CA4D04" w:rsidP="00CA4D04">
            <w:pPr>
              <w:rPr>
                <w:sz w:val="2"/>
                <w:szCs w:val="2"/>
              </w:rPr>
            </w:pPr>
          </w:p>
        </w:tc>
      </w:tr>
      <w:tr w:rsidR="00CA4D04" w:rsidTr="00CA4D04">
        <w:trPr>
          <w:trHeight w:val="268"/>
          <w:jc w:val="center"/>
        </w:trPr>
        <w:tc>
          <w:tcPr>
            <w:tcW w:w="1260" w:type="dxa"/>
          </w:tcPr>
          <w:p w:rsidR="00CA4D04" w:rsidRDefault="00CA4D04" w:rsidP="00CA4D04">
            <w:pPr>
              <w:pStyle w:val="TableParagraph"/>
              <w:ind w:left="107"/>
              <w:jc w:val="left"/>
            </w:pPr>
            <w:r>
              <w:t>Alexandria</w:t>
            </w:r>
          </w:p>
        </w:tc>
        <w:tc>
          <w:tcPr>
            <w:tcW w:w="630" w:type="dxa"/>
          </w:tcPr>
          <w:p w:rsidR="00CA4D04" w:rsidRDefault="00CA4D04" w:rsidP="00CA4D04">
            <w:pPr>
              <w:pStyle w:val="TableParagraph"/>
              <w:ind w:left="98" w:right="89"/>
            </w:pPr>
            <w:r>
              <w:t>0.17</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120"/>
              <w:jc w:val="left"/>
            </w:pPr>
            <w:r>
              <w:t>0.03</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98" w:right="89"/>
            </w:pPr>
            <w:r>
              <w:t>0.02</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120"/>
              <w:jc w:val="left"/>
            </w:pPr>
            <w:r>
              <w:t>0.05</w:t>
            </w:r>
          </w:p>
        </w:tc>
        <w:tc>
          <w:tcPr>
            <w:tcW w:w="630" w:type="dxa"/>
          </w:tcPr>
          <w:p w:rsidR="00CA4D04" w:rsidRDefault="00CA4D04" w:rsidP="00CA4D04">
            <w:pPr>
              <w:pStyle w:val="TableParagraph"/>
              <w:ind w:left="99" w:right="89"/>
            </w:pPr>
            <w:r>
              <w:t>0.32</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99" w:right="89"/>
            </w:pPr>
            <w:r>
              <w:t>0.13</w:t>
            </w:r>
          </w:p>
        </w:tc>
        <w:tc>
          <w:tcPr>
            <w:tcW w:w="630" w:type="dxa"/>
          </w:tcPr>
          <w:p w:rsidR="00CA4D04" w:rsidRDefault="00CA4D04" w:rsidP="00CA4D04">
            <w:pPr>
              <w:pStyle w:val="TableParagraph"/>
              <w:ind w:left="99" w:right="89"/>
            </w:pPr>
            <w:r>
              <w:t>0.29</w:t>
            </w:r>
          </w:p>
        </w:tc>
        <w:tc>
          <w:tcPr>
            <w:tcW w:w="540" w:type="dxa"/>
          </w:tcPr>
          <w:p w:rsidR="00CA4D04" w:rsidRDefault="00CA4D04" w:rsidP="00CA4D04">
            <w:pPr>
              <w:pStyle w:val="TableParagraph"/>
              <w:ind w:left="110" w:right="99"/>
            </w:pPr>
            <w:r>
              <w:t>0.2</w:t>
            </w:r>
          </w:p>
        </w:tc>
        <w:tc>
          <w:tcPr>
            <w:tcW w:w="630" w:type="dxa"/>
          </w:tcPr>
          <w:p w:rsidR="00CA4D04" w:rsidRDefault="00CA4D04" w:rsidP="00CA4D04">
            <w:pPr>
              <w:pStyle w:val="TableParagraph"/>
              <w:ind w:left="121"/>
              <w:jc w:val="left"/>
            </w:pPr>
            <w:r>
              <w:t>0.06</w:t>
            </w:r>
          </w:p>
        </w:tc>
        <w:tc>
          <w:tcPr>
            <w:tcW w:w="754" w:type="dxa"/>
          </w:tcPr>
          <w:p w:rsidR="00CA4D04" w:rsidRDefault="00CA4D04" w:rsidP="00CA4D04">
            <w:pPr>
              <w:pStyle w:val="TableParagraph"/>
              <w:ind w:left="106" w:right="95"/>
            </w:pPr>
            <w:r>
              <w:t>0.287</w:t>
            </w:r>
          </w:p>
        </w:tc>
        <w:tc>
          <w:tcPr>
            <w:tcW w:w="674" w:type="dxa"/>
          </w:tcPr>
          <w:p w:rsidR="00CA4D04" w:rsidRDefault="00CA4D04" w:rsidP="00CA4D04">
            <w:pPr>
              <w:pStyle w:val="TableParagraph"/>
              <w:ind w:left="10"/>
            </w:pPr>
            <w:r>
              <w:rPr>
                <w:w w:val="99"/>
              </w:rPr>
              <w:t>6</w:t>
            </w:r>
          </w:p>
        </w:tc>
      </w:tr>
      <w:tr w:rsidR="00CA4D04" w:rsidTr="00CA4D04">
        <w:trPr>
          <w:trHeight w:val="269"/>
          <w:jc w:val="center"/>
        </w:trPr>
        <w:tc>
          <w:tcPr>
            <w:tcW w:w="1260" w:type="dxa"/>
          </w:tcPr>
          <w:p w:rsidR="00CA4D04" w:rsidRDefault="00CA4D04" w:rsidP="00CA4D04">
            <w:pPr>
              <w:pStyle w:val="TableParagraph"/>
              <w:spacing w:line="249" w:lineRule="exact"/>
              <w:ind w:left="107"/>
              <w:jc w:val="left"/>
            </w:pPr>
            <w:r>
              <w:t>El-Dekheila</w:t>
            </w:r>
          </w:p>
        </w:tc>
        <w:tc>
          <w:tcPr>
            <w:tcW w:w="630" w:type="dxa"/>
          </w:tcPr>
          <w:p w:rsidR="00CA4D04" w:rsidRDefault="00CA4D04" w:rsidP="00CA4D04">
            <w:pPr>
              <w:pStyle w:val="TableParagraph"/>
              <w:spacing w:line="249" w:lineRule="exact"/>
              <w:ind w:left="98" w:right="89"/>
            </w:pPr>
            <w:r>
              <w:t>0.17</w:t>
            </w:r>
          </w:p>
        </w:tc>
        <w:tc>
          <w:tcPr>
            <w:tcW w:w="540" w:type="dxa"/>
          </w:tcPr>
          <w:p w:rsidR="00CA4D04" w:rsidRDefault="00CA4D04" w:rsidP="00CA4D04">
            <w:pPr>
              <w:pStyle w:val="TableParagraph"/>
              <w:spacing w:line="249" w:lineRule="exact"/>
              <w:ind w:left="110" w:right="100"/>
            </w:pPr>
            <w:r>
              <w:t>0.4</w:t>
            </w:r>
          </w:p>
        </w:tc>
        <w:tc>
          <w:tcPr>
            <w:tcW w:w="630" w:type="dxa"/>
          </w:tcPr>
          <w:p w:rsidR="00CA4D04" w:rsidRDefault="00CA4D04" w:rsidP="00CA4D04">
            <w:pPr>
              <w:pStyle w:val="TableParagraph"/>
              <w:spacing w:line="249" w:lineRule="exact"/>
              <w:ind w:left="120"/>
              <w:jc w:val="left"/>
            </w:pPr>
            <w:r>
              <w:t>0.07</w:t>
            </w:r>
          </w:p>
        </w:tc>
        <w:tc>
          <w:tcPr>
            <w:tcW w:w="630" w:type="dxa"/>
          </w:tcPr>
          <w:p w:rsidR="00CA4D04" w:rsidRDefault="00CA4D04" w:rsidP="00CA4D04">
            <w:pPr>
              <w:pStyle w:val="TableParagraph"/>
              <w:spacing w:line="249" w:lineRule="exact"/>
              <w:ind w:left="98" w:right="89"/>
            </w:pPr>
            <w:r>
              <w:t>0.11</w:t>
            </w:r>
          </w:p>
        </w:tc>
        <w:tc>
          <w:tcPr>
            <w:tcW w:w="540" w:type="dxa"/>
          </w:tcPr>
          <w:p w:rsidR="00CA4D04" w:rsidRDefault="00CA4D04" w:rsidP="00CA4D04">
            <w:pPr>
              <w:pStyle w:val="TableParagraph"/>
              <w:spacing w:line="249" w:lineRule="exact"/>
              <w:ind w:left="110" w:right="100"/>
            </w:pPr>
            <w:r>
              <w:t>0.4</w:t>
            </w:r>
          </w:p>
        </w:tc>
        <w:tc>
          <w:tcPr>
            <w:tcW w:w="630" w:type="dxa"/>
          </w:tcPr>
          <w:p w:rsidR="00CA4D04" w:rsidRDefault="00CA4D04" w:rsidP="00CA4D04">
            <w:pPr>
              <w:pStyle w:val="TableParagraph"/>
              <w:spacing w:line="249" w:lineRule="exact"/>
              <w:ind w:left="98" w:right="89"/>
            </w:pPr>
            <w:r>
              <w:t>0.04</w:t>
            </w:r>
          </w:p>
        </w:tc>
        <w:tc>
          <w:tcPr>
            <w:tcW w:w="630" w:type="dxa"/>
          </w:tcPr>
          <w:p w:rsidR="00CA4D04" w:rsidRDefault="00CA4D04" w:rsidP="00CA4D04">
            <w:pPr>
              <w:pStyle w:val="TableParagraph"/>
              <w:spacing w:line="249" w:lineRule="exact"/>
              <w:ind w:left="98" w:right="89"/>
            </w:pPr>
            <w:r>
              <w:t>0.11</w:t>
            </w:r>
          </w:p>
        </w:tc>
        <w:tc>
          <w:tcPr>
            <w:tcW w:w="540" w:type="dxa"/>
          </w:tcPr>
          <w:p w:rsidR="00CA4D04" w:rsidRDefault="00CA4D04" w:rsidP="00CA4D04">
            <w:pPr>
              <w:pStyle w:val="TableParagraph"/>
              <w:spacing w:line="249" w:lineRule="exact"/>
              <w:ind w:left="110" w:right="100"/>
            </w:pPr>
            <w:r>
              <w:t>0.6</w:t>
            </w:r>
          </w:p>
        </w:tc>
        <w:tc>
          <w:tcPr>
            <w:tcW w:w="630" w:type="dxa"/>
          </w:tcPr>
          <w:p w:rsidR="00CA4D04" w:rsidRDefault="00CA4D04" w:rsidP="00CA4D04">
            <w:pPr>
              <w:pStyle w:val="TableParagraph"/>
              <w:spacing w:line="249" w:lineRule="exact"/>
              <w:ind w:left="120"/>
              <w:jc w:val="left"/>
            </w:pPr>
            <w:r>
              <w:t>0.07</w:t>
            </w:r>
          </w:p>
        </w:tc>
        <w:tc>
          <w:tcPr>
            <w:tcW w:w="630" w:type="dxa"/>
          </w:tcPr>
          <w:p w:rsidR="00CA4D04" w:rsidRDefault="00CA4D04" w:rsidP="00CA4D04">
            <w:pPr>
              <w:pStyle w:val="TableParagraph"/>
              <w:spacing w:line="249" w:lineRule="exact"/>
              <w:ind w:left="99" w:right="89"/>
            </w:pPr>
            <w:r>
              <w:t>0.32</w:t>
            </w:r>
          </w:p>
        </w:tc>
        <w:tc>
          <w:tcPr>
            <w:tcW w:w="540" w:type="dxa"/>
          </w:tcPr>
          <w:p w:rsidR="00CA4D04" w:rsidRDefault="00CA4D04" w:rsidP="00CA4D04">
            <w:pPr>
              <w:pStyle w:val="TableParagraph"/>
              <w:spacing w:line="249" w:lineRule="exact"/>
              <w:ind w:left="110" w:right="100"/>
            </w:pPr>
            <w:r>
              <w:t>0.2</w:t>
            </w:r>
          </w:p>
        </w:tc>
        <w:tc>
          <w:tcPr>
            <w:tcW w:w="630" w:type="dxa"/>
          </w:tcPr>
          <w:p w:rsidR="00CA4D04" w:rsidRDefault="00CA4D04" w:rsidP="00CA4D04">
            <w:pPr>
              <w:pStyle w:val="TableParagraph"/>
              <w:spacing w:line="249" w:lineRule="exact"/>
              <w:ind w:left="99" w:right="89"/>
            </w:pPr>
            <w:r>
              <w:t>0.06</w:t>
            </w:r>
          </w:p>
        </w:tc>
        <w:tc>
          <w:tcPr>
            <w:tcW w:w="630" w:type="dxa"/>
          </w:tcPr>
          <w:p w:rsidR="00CA4D04" w:rsidRDefault="00CA4D04" w:rsidP="00CA4D04">
            <w:pPr>
              <w:pStyle w:val="TableParagraph"/>
              <w:spacing w:line="249" w:lineRule="exact"/>
              <w:ind w:left="99" w:right="89"/>
            </w:pPr>
            <w:r>
              <w:t>0.29</w:t>
            </w:r>
          </w:p>
        </w:tc>
        <w:tc>
          <w:tcPr>
            <w:tcW w:w="540" w:type="dxa"/>
          </w:tcPr>
          <w:p w:rsidR="00CA4D04" w:rsidRDefault="00CA4D04" w:rsidP="00CA4D04">
            <w:pPr>
              <w:pStyle w:val="TableParagraph"/>
              <w:spacing w:line="249" w:lineRule="exact"/>
              <w:ind w:left="110" w:right="99"/>
            </w:pPr>
            <w:r>
              <w:t>0.4</w:t>
            </w:r>
          </w:p>
        </w:tc>
        <w:tc>
          <w:tcPr>
            <w:tcW w:w="630" w:type="dxa"/>
          </w:tcPr>
          <w:p w:rsidR="00CA4D04" w:rsidRDefault="00CA4D04" w:rsidP="00CA4D04">
            <w:pPr>
              <w:pStyle w:val="TableParagraph"/>
              <w:spacing w:line="249" w:lineRule="exact"/>
              <w:ind w:left="121"/>
              <w:jc w:val="left"/>
            </w:pPr>
            <w:r>
              <w:t>0.12</w:t>
            </w:r>
          </w:p>
        </w:tc>
        <w:tc>
          <w:tcPr>
            <w:tcW w:w="754" w:type="dxa"/>
          </w:tcPr>
          <w:p w:rsidR="00CA4D04" w:rsidRDefault="00CA4D04" w:rsidP="00CA4D04">
            <w:pPr>
              <w:pStyle w:val="TableParagraph"/>
              <w:spacing w:line="249" w:lineRule="exact"/>
              <w:ind w:left="105" w:right="95"/>
            </w:pPr>
            <w:r>
              <w:t>0.359</w:t>
            </w:r>
          </w:p>
        </w:tc>
        <w:tc>
          <w:tcPr>
            <w:tcW w:w="674" w:type="dxa"/>
          </w:tcPr>
          <w:p w:rsidR="00CA4D04" w:rsidRDefault="00CA4D04" w:rsidP="00CA4D04">
            <w:pPr>
              <w:pStyle w:val="TableParagraph"/>
              <w:spacing w:line="249" w:lineRule="exact"/>
              <w:ind w:left="10"/>
            </w:pPr>
            <w:r>
              <w:rPr>
                <w:w w:val="99"/>
              </w:rPr>
              <w:t>5</w:t>
            </w:r>
          </w:p>
        </w:tc>
      </w:tr>
      <w:tr w:rsidR="00CA4D04" w:rsidTr="00CA4D04">
        <w:trPr>
          <w:trHeight w:val="268"/>
          <w:jc w:val="center"/>
        </w:trPr>
        <w:tc>
          <w:tcPr>
            <w:tcW w:w="1260" w:type="dxa"/>
          </w:tcPr>
          <w:p w:rsidR="00CA4D04" w:rsidRDefault="00CA4D04" w:rsidP="00CA4D04">
            <w:pPr>
              <w:pStyle w:val="TableParagraph"/>
              <w:ind w:left="107"/>
              <w:jc w:val="left"/>
            </w:pPr>
            <w:r>
              <w:t>Damietta</w:t>
            </w:r>
          </w:p>
        </w:tc>
        <w:tc>
          <w:tcPr>
            <w:tcW w:w="630" w:type="dxa"/>
          </w:tcPr>
          <w:p w:rsidR="00CA4D04" w:rsidRDefault="00CA4D04" w:rsidP="00CA4D04">
            <w:pPr>
              <w:pStyle w:val="TableParagraph"/>
              <w:ind w:left="98" w:right="89"/>
            </w:pPr>
            <w:r>
              <w:t>0.17</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120"/>
              <w:jc w:val="left"/>
            </w:pPr>
            <w:r>
              <w:t>0.03</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98" w:right="89"/>
            </w:pPr>
            <w:r>
              <w:t>0.04</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120"/>
              <w:jc w:val="left"/>
            </w:pPr>
            <w:r>
              <w:t>0.05</w:t>
            </w:r>
          </w:p>
        </w:tc>
        <w:tc>
          <w:tcPr>
            <w:tcW w:w="630" w:type="dxa"/>
          </w:tcPr>
          <w:p w:rsidR="00CA4D04" w:rsidRDefault="00CA4D04" w:rsidP="00CA4D04">
            <w:pPr>
              <w:pStyle w:val="TableParagraph"/>
              <w:ind w:left="99" w:right="89"/>
            </w:pPr>
            <w:r>
              <w:t>0.32</w:t>
            </w:r>
          </w:p>
        </w:tc>
        <w:tc>
          <w:tcPr>
            <w:tcW w:w="540" w:type="dxa"/>
          </w:tcPr>
          <w:p w:rsidR="00CA4D04" w:rsidRDefault="00CA4D04" w:rsidP="00CA4D04">
            <w:pPr>
              <w:pStyle w:val="TableParagraph"/>
              <w:ind w:left="110" w:right="100"/>
            </w:pPr>
            <w:r>
              <w:t>0.6</w:t>
            </w:r>
          </w:p>
        </w:tc>
        <w:tc>
          <w:tcPr>
            <w:tcW w:w="630" w:type="dxa"/>
          </w:tcPr>
          <w:p w:rsidR="00CA4D04" w:rsidRDefault="00CA4D04" w:rsidP="00CA4D04">
            <w:pPr>
              <w:pStyle w:val="TableParagraph"/>
              <w:ind w:left="99" w:right="89"/>
            </w:pPr>
            <w:r>
              <w:t>0.19</w:t>
            </w:r>
          </w:p>
        </w:tc>
        <w:tc>
          <w:tcPr>
            <w:tcW w:w="630" w:type="dxa"/>
          </w:tcPr>
          <w:p w:rsidR="00CA4D04" w:rsidRDefault="00CA4D04" w:rsidP="00CA4D04">
            <w:pPr>
              <w:pStyle w:val="TableParagraph"/>
              <w:ind w:left="99" w:right="89"/>
            </w:pPr>
            <w:r>
              <w:t>0.29</w:t>
            </w:r>
          </w:p>
        </w:tc>
        <w:tc>
          <w:tcPr>
            <w:tcW w:w="540" w:type="dxa"/>
          </w:tcPr>
          <w:p w:rsidR="00CA4D04" w:rsidRDefault="00CA4D04" w:rsidP="00CA4D04">
            <w:pPr>
              <w:pStyle w:val="TableParagraph"/>
              <w:ind w:left="110" w:right="99"/>
            </w:pPr>
            <w:r>
              <w:t>0.6</w:t>
            </w:r>
          </w:p>
        </w:tc>
        <w:tc>
          <w:tcPr>
            <w:tcW w:w="630" w:type="dxa"/>
          </w:tcPr>
          <w:p w:rsidR="00CA4D04" w:rsidRDefault="00CA4D04" w:rsidP="00CA4D04">
            <w:pPr>
              <w:pStyle w:val="TableParagraph"/>
              <w:ind w:left="121"/>
              <w:jc w:val="left"/>
            </w:pPr>
            <w:r>
              <w:t>0.17</w:t>
            </w:r>
          </w:p>
        </w:tc>
        <w:tc>
          <w:tcPr>
            <w:tcW w:w="754" w:type="dxa"/>
          </w:tcPr>
          <w:p w:rsidR="00CA4D04" w:rsidRDefault="00CA4D04" w:rsidP="00CA4D04">
            <w:pPr>
              <w:pStyle w:val="TableParagraph"/>
              <w:ind w:left="106" w:right="95"/>
            </w:pPr>
            <w:r>
              <w:t>0.488</w:t>
            </w:r>
          </w:p>
        </w:tc>
        <w:tc>
          <w:tcPr>
            <w:tcW w:w="674" w:type="dxa"/>
          </w:tcPr>
          <w:p w:rsidR="00CA4D04" w:rsidRDefault="00CA4D04" w:rsidP="00CA4D04">
            <w:pPr>
              <w:pStyle w:val="TableParagraph"/>
              <w:ind w:left="10"/>
            </w:pPr>
            <w:r>
              <w:rPr>
                <w:w w:val="99"/>
              </w:rPr>
              <w:t>3</w:t>
            </w:r>
          </w:p>
        </w:tc>
      </w:tr>
      <w:tr w:rsidR="00CA4D04" w:rsidTr="00CA4D04">
        <w:trPr>
          <w:trHeight w:val="537"/>
          <w:jc w:val="center"/>
        </w:trPr>
        <w:tc>
          <w:tcPr>
            <w:tcW w:w="1260" w:type="dxa"/>
          </w:tcPr>
          <w:p w:rsidR="00CA4D04" w:rsidRDefault="00CA4D04" w:rsidP="00CA4D04">
            <w:pPr>
              <w:pStyle w:val="TableParagraph"/>
              <w:tabs>
                <w:tab w:val="left" w:pos="770"/>
              </w:tabs>
              <w:spacing w:line="268" w:lineRule="exact"/>
              <w:ind w:left="107"/>
              <w:jc w:val="left"/>
            </w:pPr>
            <w:r>
              <w:t>East</w:t>
            </w:r>
            <w:r>
              <w:tab/>
              <w:t>Port</w:t>
            </w:r>
          </w:p>
          <w:p w:rsidR="00CA4D04" w:rsidRDefault="00CA4D04" w:rsidP="00CA4D04">
            <w:pPr>
              <w:pStyle w:val="TableParagraph"/>
              <w:spacing w:line="249" w:lineRule="exact"/>
              <w:ind w:left="107"/>
              <w:jc w:val="left"/>
            </w:pPr>
            <w:r>
              <w:t>Said</w:t>
            </w:r>
          </w:p>
        </w:tc>
        <w:tc>
          <w:tcPr>
            <w:tcW w:w="630" w:type="dxa"/>
          </w:tcPr>
          <w:p w:rsidR="00CA4D04" w:rsidRDefault="00CA4D04" w:rsidP="00CA4D04">
            <w:pPr>
              <w:pStyle w:val="TableParagraph"/>
              <w:spacing w:before="133" w:line="240" w:lineRule="auto"/>
              <w:ind w:left="98" w:right="89"/>
            </w:pPr>
            <w:r>
              <w:t>0.17</w:t>
            </w:r>
          </w:p>
        </w:tc>
        <w:tc>
          <w:tcPr>
            <w:tcW w:w="540" w:type="dxa"/>
          </w:tcPr>
          <w:p w:rsidR="00CA4D04" w:rsidRDefault="00CA4D04" w:rsidP="00CA4D04">
            <w:pPr>
              <w:pStyle w:val="TableParagraph"/>
              <w:spacing w:before="133" w:line="240" w:lineRule="auto"/>
              <w:ind w:left="110" w:right="100"/>
            </w:pPr>
            <w:r>
              <w:t>0.8</w:t>
            </w:r>
          </w:p>
        </w:tc>
        <w:tc>
          <w:tcPr>
            <w:tcW w:w="630" w:type="dxa"/>
          </w:tcPr>
          <w:p w:rsidR="00CA4D04" w:rsidRDefault="00CA4D04" w:rsidP="00CA4D04">
            <w:pPr>
              <w:pStyle w:val="TableParagraph"/>
              <w:spacing w:before="133" w:line="240" w:lineRule="auto"/>
              <w:ind w:left="120"/>
              <w:jc w:val="left"/>
            </w:pPr>
            <w:r>
              <w:t>0.13</w:t>
            </w:r>
          </w:p>
        </w:tc>
        <w:tc>
          <w:tcPr>
            <w:tcW w:w="630" w:type="dxa"/>
          </w:tcPr>
          <w:p w:rsidR="00CA4D04" w:rsidRDefault="00CA4D04" w:rsidP="00CA4D04">
            <w:pPr>
              <w:pStyle w:val="TableParagraph"/>
              <w:spacing w:before="133" w:line="240" w:lineRule="auto"/>
              <w:ind w:left="98" w:right="89"/>
            </w:pPr>
            <w:r>
              <w:t>0.11</w:t>
            </w:r>
          </w:p>
        </w:tc>
        <w:tc>
          <w:tcPr>
            <w:tcW w:w="540" w:type="dxa"/>
          </w:tcPr>
          <w:p w:rsidR="00CA4D04" w:rsidRDefault="00CA4D04" w:rsidP="00CA4D04">
            <w:pPr>
              <w:pStyle w:val="TableParagraph"/>
              <w:spacing w:before="133" w:line="240" w:lineRule="auto"/>
              <w:ind w:left="110" w:right="100"/>
            </w:pPr>
            <w:r>
              <w:t>0.8</w:t>
            </w:r>
          </w:p>
        </w:tc>
        <w:tc>
          <w:tcPr>
            <w:tcW w:w="630" w:type="dxa"/>
          </w:tcPr>
          <w:p w:rsidR="00CA4D04" w:rsidRDefault="00CA4D04" w:rsidP="00CA4D04">
            <w:pPr>
              <w:pStyle w:val="TableParagraph"/>
              <w:spacing w:before="133" w:line="240" w:lineRule="auto"/>
              <w:ind w:left="98" w:right="89"/>
            </w:pPr>
            <w:r>
              <w:t>0.09</w:t>
            </w:r>
          </w:p>
        </w:tc>
        <w:tc>
          <w:tcPr>
            <w:tcW w:w="630" w:type="dxa"/>
          </w:tcPr>
          <w:p w:rsidR="00CA4D04" w:rsidRDefault="00CA4D04" w:rsidP="00CA4D04">
            <w:pPr>
              <w:pStyle w:val="TableParagraph"/>
              <w:spacing w:before="133" w:line="240" w:lineRule="auto"/>
              <w:ind w:left="98" w:right="89"/>
            </w:pPr>
            <w:r>
              <w:t>0.11</w:t>
            </w:r>
          </w:p>
        </w:tc>
        <w:tc>
          <w:tcPr>
            <w:tcW w:w="540" w:type="dxa"/>
          </w:tcPr>
          <w:p w:rsidR="00CA4D04" w:rsidRDefault="00CA4D04" w:rsidP="00CA4D04">
            <w:pPr>
              <w:pStyle w:val="TableParagraph"/>
              <w:spacing w:before="133" w:line="240" w:lineRule="auto"/>
              <w:ind w:left="110" w:right="100"/>
            </w:pPr>
            <w:r>
              <w:t>0.8</w:t>
            </w:r>
          </w:p>
        </w:tc>
        <w:tc>
          <w:tcPr>
            <w:tcW w:w="630" w:type="dxa"/>
          </w:tcPr>
          <w:p w:rsidR="00CA4D04" w:rsidRDefault="00CA4D04" w:rsidP="00CA4D04">
            <w:pPr>
              <w:pStyle w:val="TableParagraph"/>
              <w:spacing w:before="133" w:line="240" w:lineRule="auto"/>
              <w:ind w:left="120"/>
              <w:jc w:val="left"/>
            </w:pPr>
            <w:r>
              <w:t>0.09</w:t>
            </w:r>
          </w:p>
        </w:tc>
        <w:tc>
          <w:tcPr>
            <w:tcW w:w="630" w:type="dxa"/>
          </w:tcPr>
          <w:p w:rsidR="00CA4D04" w:rsidRDefault="00CA4D04" w:rsidP="00CA4D04">
            <w:pPr>
              <w:pStyle w:val="TableParagraph"/>
              <w:spacing w:before="133" w:line="240" w:lineRule="auto"/>
              <w:ind w:left="99" w:right="89"/>
            </w:pPr>
            <w:r>
              <w:t>0.32</w:t>
            </w:r>
          </w:p>
        </w:tc>
        <w:tc>
          <w:tcPr>
            <w:tcW w:w="540" w:type="dxa"/>
          </w:tcPr>
          <w:p w:rsidR="00CA4D04" w:rsidRDefault="00CA4D04" w:rsidP="00CA4D04">
            <w:pPr>
              <w:pStyle w:val="TableParagraph"/>
              <w:spacing w:before="133" w:line="240" w:lineRule="auto"/>
              <w:ind w:left="110" w:right="100"/>
            </w:pPr>
            <w:r>
              <w:t>0.6</w:t>
            </w:r>
          </w:p>
        </w:tc>
        <w:tc>
          <w:tcPr>
            <w:tcW w:w="630" w:type="dxa"/>
          </w:tcPr>
          <w:p w:rsidR="00CA4D04" w:rsidRDefault="00CA4D04" w:rsidP="00CA4D04">
            <w:pPr>
              <w:pStyle w:val="TableParagraph"/>
              <w:spacing w:before="133" w:line="240" w:lineRule="auto"/>
              <w:ind w:left="99" w:right="89"/>
            </w:pPr>
            <w:r>
              <w:t>0.19</w:t>
            </w:r>
          </w:p>
        </w:tc>
        <w:tc>
          <w:tcPr>
            <w:tcW w:w="630" w:type="dxa"/>
          </w:tcPr>
          <w:p w:rsidR="00CA4D04" w:rsidRDefault="00CA4D04" w:rsidP="00CA4D04">
            <w:pPr>
              <w:pStyle w:val="TableParagraph"/>
              <w:spacing w:before="133" w:line="240" w:lineRule="auto"/>
              <w:ind w:left="99" w:right="89"/>
            </w:pPr>
            <w:r>
              <w:t>0.29</w:t>
            </w:r>
          </w:p>
        </w:tc>
        <w:tc>
          <w:tcPr>
            <w:tcW w:w="540" w:type="dxa"/>
          </w:tcPr>
          <w:p w:rsidR="00CA4D04" w:rsidRDefault="00CA4D04" w:rsidP="00CA4D04">
            <w:pPr>
              <w:pStyle w:val="TableParagraph"/>
              <w:spacing w:before="133" w:line="240" w:lineRule="auto"/>
              <w:ind w:left="110" w:right="99"/>
            </w:pPr>
            <w:r>
              <w:t>0.8</w:t>
            </w:r>
          </w:p>
        </w:tc>
        <w:tc>
          <w:tcPr>
            <w:tcW w:w="630" w:type="dxa"/>
          </w:tcPr>
          <w:p w:rsidR="00CA4D04" w:rsidRDefault="00CA4D04" w:rsidP="00CA4D04">
            <w:pPr>
              <w:pStyle w:val="TableParagraph"/>
              <w:spacing w:before="133" w:line="240" w:lineRule="auto"/>
              <w:ind w:left="121"/>
              <w:jc w:val="left"/>
            </w:pPr>
            <w:r>
              <w:t>0.23</w:t>
            </w:r>
          </w:p>
        </w:tc>
        <w:tc>
          <w:tcPr>
            <w:tcW w:w="754" w:type="dxa"/>
          </w:tcPr>
          <w:p w:rsidR="00CA4D04" w:rsidRDefault="00CA4D04" w:rsidP="00CA4D04">
            <w:pPr>
              <w:pStyle w:val="TableParagraph"/>
              <w:spacing w:before="133" w:line="240" w:lineRule="auto"/>
              <w:ind w:left="105" w:right="95"/>
            </w:pPr>
            <w:r>
              <w:t>0.736</w:t>
            </w:r>
          </w:p>
        </w:tc>
        <w:tc>
          <w:tcPr>
            <w:tcW w:w="674" w:type="dxa"/>
          </w:tcPr>
          <w:p w:rsidR="00CA4D04" w:rsidRDefault="00CA4D04" w:rsidP="00CA4D04">
            <w:pPr>
              <w:pStyle w:val="TableParagraph"/>
              <w:spacing w:before="133" w:line="240" w:lineRule="auto"/>
              <w:ind w:left="10"/>
            </w:pPr>
            <w:r>
              <w:rPr>
                <w:w w:val="99"/>
              </w:rPr>
              <w:t>1</w:t>
            </w:r>
          </w:p>
        </w:tc>
      </w:tr>
      <w:tr w:rsidR="00CA4D04" w:rsidTr="00CA4D04">
        <w:trPr>
          <w:trHeight w:val="268"/>
          <w:jc w:val="center"/>
        </w:trPr>
        <w:tc>
          <w:tcPr>
            <w:tcW w:w="1260" w:type="dxa"/>
          </w:tcPr>
          <w:p w:rsidR="00CA4D04" w:rsidRDefault="00CA4D04" w:rsidP="00CA4D04">
            <w:pPr>
              <w:pStyle w:val="TableParagraph"/>
              <w:ind w:left="107"/>
              <w:jc w:val="left"/>
            </w:pPr>
            <w:r>
              <w:t>Port Said</w:t>
            </w:r>
          </w:p>
        </w:tc>
        <w:tc>
          <w:tcPr>
            <w:tcW w:w="630" w:type="dxa"/>
          </w:tcPr>
          <w:p w:rsidR="00CA4D04" w:rsidRDefault="00CA4D04" w:rsidP="00CA4D04">
            <w:pPr>
              <w:pStyle w:val="TableParagraph"/>
              <w:ind w:left="98" w:right="89"/>
            </w:pPr>
            <w:r>
              <w:t>0.17</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120"/>
              <w:jc w:val="left"/>
            </w:pPr>
            <w:r>
              <w:t>0.03</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98" w:right="89"/>
            </w:pPr>
            <w:r>
              <w:t>0.04</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120"/>
              <w:jc w:val="left"/>
            </w:pPr>
            <w:r>
              <w:t>0.02</w:t>
            </w:r>
          </w:p>
        </w:tc>
        <w:tc>
          <w:tcPr>
            <w:tcW w:w="630" w:type="dxa"/>
          </w:tcPr>
          <w:p w:rsidR="00CA4D04" w:rsidRDefault="00CA4D04" w:rsidP="00CA4D04">
            <w:pPr>
              <w:pStyle w:val="TableParagraph"/>
              <w:ind w:left="99" w:right="89"/>
            </w:pPr>
            <w:r>
              <w:t>0.32</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99" w:right="89"/>
            </w:pPr>
            <w:r>
              <w:t>0.13</w:t>
            </w:r>
          </w:p>
        </w:tc>
        <w:tc>
          <w:tcPr>
            <w:tcW w:w="630" w:type="dxa"/>
          </w:tcPr>
          <w:p w:rsidR="00CA4D04" w:rsidRDefault="00CA4D04" w:rsidP="00CA4D04">
            <w:pPr>
              <w:pStyle w:val="TableParagraph"/>
              <w:ind w:left="99" w:right="89"/>
            </w:pPr>
            <w:r>
              <w:t>0.29</w:t>
            </w:r>
          </w:p>
        </w:tc>
        <w:tc>
          <w:tcPr>
            <w:tcW w:w="540" w:type="dxa"/>
          </w:tcPr>
          <w:p w:rsidR="00CA4D04" w:rsidRDefault="00CA4D04" w:rsidP="00CA4D04">
            <w:pPr>
              <w:pStyle w:val="TableParagraph"/>
              <w:ind w:left="110" w:right="99"/>
            </w:pPr>
            <w:r>
              <w:t>0.6</w:t>
            </w:r>
          </w:p>
        </w:tc>
        <w:tc>
          <w:tcPr>
            <w:tcW w:w="630" w:type="dxa"/>
          </w:tcPr>
          <w:p w:rsidR="00CA4D04" w:rsidRDefault="00CA4D04" w:rsidP="00CA4D04">
            <w:pPr>
              <w:pStyle w:val="TableParagraph"/>
              <w:ind w:left="121"/>
              <w:jc w:val="left"/>
            </w:pPr>
            <w:r>
              <w:t>0.17</w:t>
            </w:r>
          </w:p>
        </w:tc>
        <w:tc>
          <w:tcPr>
            <w:tcW w:w="754" w:type="dxa"/>
          </w:tcPr>
          <w:p w:rsidR="00CA4D04" w:rsidRDefault="00CA4D04" w:rsidP="00CA4D04">
            <w:pPr>
              <w:pStyle w:val="TableParagraph"/>
              <w:ind w:left="106" w:right="95"/>
            </w:pPr>
            <w:r>
              <w:t>0.401</w:t>
            </w:r>
          </w:p>
        </w:tc>
        <w:tc>
          <w:tcPr>
            <w:tcW w:w="674" w:type="dxa"/>
          </w:tcPr>
          <w:p w:rsidR="00CA4D04" w:rsidRDefault="00CA4D04" w:rsidP="00CA4D04">
            <w:pPr>
              <w:pStyle w:val="TableParagraph"/>
              <w:ind w:left="10"/>
            </w:pPr>
            <w:r>
              <w:rPr>
                <w:w w:val="99"/>
              </w:rPr>
              <w:t>4</w:t>
            </w:r>
          </w:p>
        </w:tc>
      </w:tr>
      <w:tr w:rsidR="00CA4D04" w:rsidTr="00CA4D04">
        <w:trPr>
          <w:trHeight w:val="268"/>
          <w:jc w:val="center"/>
        </w:trPr>
        <w:tc>
          <w:tcPr>
            <w:tcW w:w="1260" w:type="dxa"/>
          </w:tcPr>
          <w:p w:rsidR="00CA4D04" w:rsidRDefault="00CA4D04" w:rsidP="00CA4D04">
            <w:pPr>
              <w:pStyle w:val="TableParagraph"/>
              <w:ind w:left="107"/>
              <w:jc w:val="left"/>
            </w:pPr>
            <w:r>
              <w:t>El-Sokhna</w:t>
            </w:r>
          </w:p>
        </w:tc>
        <w:tc>
          <w:tcPr>
            <w:tcW w:w="630" w:type="dxa"/>
          </w:tcPr>
          <w:p w:rsidR="00CA4D04" w:rsidRDefault="00CA4D04" w:rsidP="00CA4D04">
            <w:pPr>
              <w:pStyle w:val="TableParagraph"/>
              <w:ind w:left="98" w:right="89"/>
            </w:pPr>
            <w:r>
              <w:t>0.17</w:t>
            </w:r>
          </w:p>
        </w:tc>
        <w:tc>
          <w:tcPr>
            <w:tcW w:w="540" w:type="dxa"/>
          </w:tcPr>
          <w:p w:rsidR="00CA4D04" w:rsidRDefault="00CA4D04" w:rsidP="00CA4D04">
            <w:pPr>
              <w:pStyle w:val="TableParagraph"/>
              <w:ind w:left="110" w:right="100"/>
            </w:pPr>
            <w:r>
              <w:t>0.2</w:t>
            </w:r>
          </w:p>
        </w:tc>
        <w:tc>
          <w:tcPr>
            <w:tcW w:w="630" w:type="dxa"/>
          </w:tcPr>
          <w:p w:rsidR="00CA4D04" w:rsidRDefault="00CA4D04" w:rsidP="00CA4D04">
            <w:pPr>
              <w:pStyle w:val="TableParagraph"/>
              <w:ind w:left="120"/>
              <w:jc w:val="left"/>
            </w:pPr>
            <w:r>
              <w:t>0.03</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98" w:right="89"/>
            </w:pPr>
            <w:r>
              <w:t>0.04</w:t>
            </w:r>
          </w:p>
        </w:tc>
        <w:tc>
          <w:tcPr>
            <w:tcW w:w="630" w:type="dxa"/>
          </w:tcPr>
          <w:p w:rsidR="00CA4D04" w:rsidRDefault="00CA4D04" w:rsidP="00CA4D04">
            <w:pPr>
              <w:pStyle w:val="TableParagraph"/>
              <w:ind w:left="98" w:right="89"/>
            </w:pPr>
            <w:r>
              <w:t>0.11</w:t>
            </w:r>
          </w:p>
        </w:tc>
        <w:tc>
          <w:tcPr>
            <w:tcW w:w="540" w:type="dxa"/>
          </w:tcPr>
          <w:p w:rsidR="00CA4D04" w:rsidRDefault="00CA4D04" w:rsidP="00CA4D04">
            <w:pPr>
              <w:pStyle w:val="TableParagraph"/>
              <w:ind w:left="110" w:right="100"/>
            </w:pPr>
            <w:r>
              <w:t>0.4</w:t>
            </w:r>
          </w:p>
        </w:tc>
        <w:tc>
          <w:tcPr>
            <w:tcW w:w="630" w:type="dxa"/>
          </w:tcPr>
          <w:p w:rsidR="00CA4D04" w:rsidRDefault="00CA4D04" w:rsidP="00CA4D04">
            <w:pPr>
              <w:pStyle w:val="TableParagraph"/>
              <w:ind w:left="120"/>
              <w:jc w:val="left"/>
            </w:pPr>
            <w:r>
              <w:t>0.05</w:t>
            </w:r>
          </w:p>
        </w:tc>
        <w:tc>
          <w:tcPr>
            <w:tcW w:w="630" w:type="dxa"/>
          </w:tcPr>
          <w:p w:rsidR="00CA4D04" w:rsidRDefault="00CA4D04" w:rsidP="00CA4D04">
            <w:pPr>
              <w:pStyle w:val="TableParagraph"/>
              <w:ind w:left="99" w:right="89"/>
            </w:pPr>
            <w:r>
              <w:t>0.32</w:t>
            </w:r>
          </w:p>
        </w:tc>
        <w:tc>
          <w:tcPr>
            <w:tcW w:w="540" w:type="dxa"/>
          </w:tcPr>
          <w:p w:rsidR="00CA4D04" w:rsidRDefault="00CA4D04" w:rsidP="00CA4D04">
            <w:pPr>
              <w:pStyle w:val="TableParagraph"/>
              <w:ind w:left="110" w:right="100"/>
            </w:pPr>
            <w:r>
              <w:t>0.8</w:t>
            </w:r>
          </w:p>
        </w:tc>
        <w:tc>
          <w:tcPr>
            <w:tcW w:w="630" w:type="dxa"/>
          </w:tcPr>
          <w:p w:rsidR="00CA4D04" w:rsidRDefault="00CA4D04" w:rsidP="00CA4D04">
            <w:pPr>
              <w:pStyle w:val="TableParagraph"/>
              <w:ind w:left="99" w:right="89"/>
            </w:pPr>
            <w:r>
              <w:t>0.25</w:t>
            </w:r>
          </w:p>
        </w:tc>
        <w:tc>
          <w:tcPr>
            <w:tcW w:w="630" w:type="dxa"/>
          </w:tcPr>
          <w:p w:rsidR="00CA4D04" w:rsidRDefault="00CA4D04" w:rsidP="00CA4D04">
            <w:pPr>
              <w:pStyle w:val="TableParagraph"/>
              <w:ind w:left="99" w:right="89"/>
            </w:pPr>
            <w:r>
              <w:t>0.29</w:t>
            </w:r>
          </w:p>
        </w:tc>
        <w:tc>
          <w:tcPr>
            <w:tcW w:w="540" w:type="dxa"/>
          </w:tcPr>
          <w:p w:rsidR="00CA4D04" w:rsidRDefault="00CA4D04" w:rsidP="00CA4D04">
            <w:pPr>
              <w:pStyle w:val="TableParagraph"/>
              <w:ind w:left="110" w:right="99"/>
            </w:pPr>
            <w:r>
              <w:t>0.4</w:t>
            </w:r>
          </w:p>
        </w:tc>
        <w:tc>
          <w:tcPr>
            <w:tcW w:w="630" w:type="dxa"/>
          </w:tcPr>
          <w:p w:rsidR="00CA4D04" w:rsidRDefault="00CA4D04" w:rsidP="00CA4D04">
            <w:pPr>
              <w:pStyle w:val="TableParagraph"/>
              <w:ind w:left="121"/>
              <w:jc w:val="left"/>
            </w:pPr>
            <w:r>
              <w:t>0.12</w:t>
            </w:r>
          </w:p>
        </w:tc>
        <w:tc>
          <w:tcPr>
            <w:tcW w:w="754" w:type="dxa"/>
          </w:tcPr>
          <w:p w:rsidR="00CA4D04" w:rsidRDefault="00CA4D04" w:rsidP="00CA4D04">
            <w:pPr>
              <w:pStyle w:val="TableParagraph"/>
              <w:ind w:left="106" w:right="95"/>
            </w:pPr>
            <w:r>
              <w:t>0.494</w:t>
            </w:r>
          </w:p>
        </w:tc>
        <w:tc>
          <w:tcPr>
            <w:tcW w:w="674" w:type="dxa"/>
          </w:tcPr>
          <w:p w:rsidR="00CA4D04" w:rsidRDefault="00CA4D04" w:rsidP="00CA4D04">
            <w:pPr>
              <w:pStyle w:val="TableParagraph"/>
              <w:ind w:left="10"/>
            </w:pPr>
            <w:r>
              <w:rPr>
                <w:w w:val="99"/>
              </w:rPr>
              <w:t>2</w:t>
            </w:r>
          </w:p>
        </w:tc>
      </w:tr>
    </w:tbl>
    <w:p w:rsidR="00CA4D04" w:rsidRPr="009A7C0F" w:rsidRDefault="00CA4D04" w:rsidP="00CA4D04">
      <w:pPr>
        <w:pStyle w:val="BodyText"/>
        <w:ind w:left="1276" w:right="1288"/>
      </w:pPr>
    </w:p>
    <w:p w:rsidR="006D181B" w:rsidRPr="009A7C0F" w:rsidRDefault="009A7C0F" w:rsidP="00CA4D04">
      <w:pPr>
        <w:pStyle w:val="Heading1"/>
        <w:ind w:left="0" w:right="48"/>
        <w:jc w:val="center"/>
        <w:rPr>
          <w:b w:val="0"/>
          <w:sz w:val="22"/>
          <w:szCs w:val="22"/>
        </w:rPr>
      </w:pPr>
      <w:r w:rsidRPr="009A7C0F">
        <w:rPr>
          <w:b w:val="0"/>
          <w:sz w:val="22"/>
          <w:szCs w:val="22"/>
        </w:rPr>
        <w:t>T</w:t>
      </w:r>
      <w:r w:rsidR="00CA4D04">
        <w:rPr>
          <w:rFonts w:hint="cs"/>
          <w:b w:val="0"/>
          <w:sz w:val="22"/>
          <w:szCs w:val="22"/>
        </w:rPr>
        <w:t>able 4</w:t>
      </w:r>
      <w:r w:rsidRPr="009A7C0F">
        <w:rPr>
          <w:b w:val="0"/>
          <w:sz w:val="22"/>
          <w:szCs w:val="22"/>
        </w:rPr>
        <w:t>:</w:t>
      </w:r>
      <w:r w:rsidR="00CA4D04">
        <w:rPr>
          <w:b w:val="0"/>
          <w:sz w:val="22"/>
          <w:szCs w:val="22"/>
        </w:rPr>
        <w:t xml:space="preserve"> The E</w:t>
      </w:r>
      <w:r w:rsidR="00CA4D04">
        <w:rPr>
          <w:rFonts w:hint="cs"/>
          <w:b w:val="0"/>
          <w:sz w:val="22"/>
          <w:szCs w:val="22"/>
        </w:rPr>
        <w:t xml:space="preserve">fficiency Index of the </w:t>
      </w:r>
      <w:r w:rsidR="00CA4D04" w:rsidRPr="009A7C0F">
        <w:rPr>
          <w:b w:val="0"/>
          <w:sz w:val="22"/>
          <w:szCs w:val="22"/>
        </w:rPr>
        <w:t>E</w:t>
      </w:r>
      <w:r w:rsidR="00CA4D04">
        <w:rPr>
          <w:rFonts w:hint="cs"/>
          <w:b w:val="0"/>
          <w:sz w:val="22"/>
          <w:szCs w:val="22"/>
        </w:rPr>
        <w:t>gyptian Container Ports</w:t>
      </w:r>
    </w:p>
    <w:p w:rsidR="004046B0" w:rsidRDefault="004046B0" w:rsidP="00CA4D04">
      <w:pPr>
        <w:pStyle w:val="BodyText"/>
        <w:tabs>
          <w:tab w:val="left" w:pos="9356"/>
        </w:tabs>
        <w:ind w:right="48"/>
        <w:jc w:val="both"/>
      </w:pPr>
    </w:p>
    <w:p w:rsidR="006D181B" w:rsidRPr="009A7C0F" w:rsidRDefault="00CA4D04" w:rsidP="00CA4D04">
      <w:pPr>
        <w:pStyle w:val="BodyText"/>
        <w:tabs>
          <w:tab w:val="left" w:pos="9356"/>
        </w:tabs>
        <w:ind w:right="48"/>
        <w:jc w:val="both"/>
      </w:pPr>
      <w:r w:rsidRPr="009A7C0F">
        <w:t>The results revealed that East Port Said port has the highest score in the efficiency index (0.736), El- Sokhna port took the second position, Damietta port took the third position, Port Said port took the fourth position, El-Dekheila port took the fifth position and finally Alexandria port took the sixth position with the lowest efficiency index (0.287). The index can be disaggregated to identify criteria that need improvement in the Egyptian container ports.</w:t>
      </w:r>
    </w:p>
    <w:p w:rsidR="006D181B" w:rsidRPr="009A7C0F" w:rsidRDefault="006D181B" w:rsidP="00CA4D04">
      <w:pPr>
        <w:pStyle w:val="BodyText"/>
        <w:tabs>
          <w:tab w:val="left" w:pos="9356"/>
        </w:tabs>
        <w:ind w:right="48"/>
      </w:pPr>
    </w:p>
    <w:p w:rsidR="006D181B" w:rsidRPr="009A7C0F" w:rsidRDefault="00CA4D04" w:rsidP="00CA4D04">
      <w:pPr>
        <w:pStyle w:val="Heading2"/>
        <w:numPr>
          <w:ilvl w:val="0"/>
          <w:numId w:val="4"/>
        </w:numPr>
        <w:tabs>
          <w:tab w:val="left" w:pos="284"/>
          <w:tab w:val="left" w:pos="9356"/>
        </w:tabs>
        <w:ind w:left="284" w:right="48" w:hanging="284"/>
        <w:jc w:val="left"/>
      </w:pPr>
      <w:r w:rsidRPr="009A7C0F">
        <w:rPr>
          <w:u w:val="single"/>
        </w:rPr>
        <w:lastRenderedPageBreak/>
        <w:t>Conclusions</w:t>
      </w:r>
    </w:p>
    <w:p w:rsidR="006D181B" w:rsidRPr="009A7C0F" w:rsidRDefault="00CA4D04" w:rsidP="00CA4D04">
      <w:pPr>
        <w:pStyle w:val="BodyText"/>
        <w:tabs>
          <w:tab w:val="left" w:pos="9356"/>
        </w:tabs>
        <w:ind w:right="48"/>
        <w:jc w:val="both"/>
      </w:pPr>
      <w:r w:rsidRPr="009A7C0F">
        <w:t>The paper proposed a framework to measure the efficiency level in container ports. An empirical study was conducted on the Egyptian container ports for the period between 2012 and 2016.</w:t>
      </w:r>
    </w:p>
    <w:p w:rsidR="006D181B" w:rsidRPr="009A7C0F" w:rsidRDefault="006D181B" w:rsidP="00CA4D04">
      <w:pPr>
        <w:pStyle w:val="BodyText"/>
        <w:tabs>
          <w:tab w:val="left" w:pos="9356"/>
        </w:tabs>
        <w:ind w:right="48"/>
        <w:rPr>
          <w:sz w:val="21"/>
        </w:rPr>
      </w:pPr>
    </w:p>
    <w:p w:rsidR="006D181B" w:rsidRPr="009A7C0F" w:rsidRDefault="00CA4D04" w:rsidP="00CA4D04">
      <w:pPr>
        <w:pStyle w:val="BodyText"/>
        <w:tabs>
          <w:tab w:val="left" w:pos="9356"/>
        </w:tabs>
        <w:ind w:right="48"/>
        <w:jc w:val="both"/>
      </w:pPr>
      <w:r w:rsidRPr="009A7C0F">
        <w:t>This paper considered the first empirical study that assesses the efficiency of the Egyptian container ports using FAHP technique. The proposed framework presented in this research can be used in assessing, evaluating and ranking any container port around the world since the efficiency criteria used in this research are the most common criteria used in evaluating a container port. However, the relative importance weight of each criterion can be varied from one port to another, which can be adjusted using the FAHP survey. For further research, the new world container ships can be used to set higher performance rating scale. For example, OOCL Hong Kong which requires 32.5 m draught and 399.87 m berth length at least (Network, 2018), can be considered as a benchmark to establish international performance rating scale to assess any container port around the world in order to compete</w:t>
      </w:r>
      <w:r w:rsidRPr="009A7C0F">
        <w:rPr>
          <w:spacing w:val="-25"/>
        </w:rPr>
        <w:t xml:space="preserve"> </w:t>
      </w:r>
      <w:r w:rsidRPr="009A7C0F">
        <w:t>globally.</w:t>
      </w:r>
    </w:p>
    <w:p w:rsidR="006D181B" w:rsidRPr="009A7C0F" w:rsidRDefault="006D181B" w:rsidP="00CA4D04">
      <w:pPr>
        <w:pStyle w:val="BodyText"/>
        <w:tabs>
          <w:tab w:val="left" w:pos="8080"/>
        </w:tabs>
        <w:ind w:right="1288"/>
      </w:pPr>
    </w:p>
    <w:p w:rsidR="006D181B" w:rsidRPr="0049002D" w:rsidRDefault="00CA4D04" w:rsidP="00CA4D04">
      <w:pPr>
        <w:pStyle w:val="Heading2"/>
        <w:tabs>
          <w:tab w:val="left" w:pos="9356"/>
        </w:tabs>
        <w:ind w:left="0" w:right="48" w:firstLine="0"/>
        <w:jc w:val="left"/>
      </w:pPr>
      <w:r w:rsidRPr="0049002D">
        <w:rPr>
          <w:u w:val="single"/>
        </w:rPr>
        <w:t>Reference</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Al-Eraqi, A. S., Mustafa, A., Khader, A. T. and Barros, C.P. (2008) “Efficiency of Middle Eastern and East African Seaports: Application of DEA Using Window Analysis”, European Journal of Scientific Research, 23, pp.</w:t>
      </w:r>
      <w:r w:rsidRPr="0049002D">
        <w:rPr>
          <w:spacing w:val="-2"/>
        </w:rPr>
        <w:t xml:space="preserve"> </w:t>
      </w:r>
      <w:r w:rsidRPr="0049002D">
        <w:t>597-612.</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 xml:space="preserve">Al-Harbi, K.M.A. (2001) “Application of the AHP in project management”, </w:t>
      </w:r>
      <w:r w:rsidRPr="0049002D">
        <w:rPr>
          <w:i/>
        </w:rPr>
        <w:t xml:space="preserve">International Journal of Project Management. </w:t>
      </w:r>
      <w:r w:rsidRPr="0049002D">
        <w:t>19 (1),</w:t>
      </w:r>
      <w:r w:rsidRPr="0049002D">
        <w:rPr>
          <w:spacing w:val="-1"/>
        </w:rPr>
        <w:t xml:space="preserve"> </w:t>
      </w:r>
      <w:r w:rsidRPr="0049002D">
        <w:t>pp.19-27.</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 xml:space="preserve">Cabała, A. (2010) “Using The Analytic Hierarchy Process in Evaluating Decision”. </w:t>
      </w:r>
      <w:r w:rsidRPr="0049002D">
        <w:rPr>
          <w:i/>
        </w:rPr>
        <w:t xml:space="preserve">Operations Research and Decisions. </w:t>
      </w:r>
      <w:r w:rsidRPr="0049002D">
        <w:t>1. pp.</w:t>
      </w:r>
      <w:r w:rsidRPr="0049002D">
        <w:rPr>
          <w:spacing w:val="-3"/>
        </w:rPr>
        <w:t xml:space="preserve"> </w:t>
      </w:r>
      <w:r w:rsidRPr="0049002D">
        <w:t>5-23.</w:t>
      </w:r>
    </w:p>
    <w:p w:rsidR="006D181B" w:rsidRPr="0049002D" w:rsidRDefault="00CA4D04" w:rsidP="00CA4D04">
      <w:pPr>
        <w:pStyle w:val="ListParagraph"/>
        <w:numPr>
          <w:ilvl w:val="0"/>
          <w:numId w:val="1"/>
        </w:numPr>
        <w:tabs>
          <w:tab w:val="left" w:pos="1550"/>
          <w:tab w:val="left" w:pos="9356"/>
        </w:tabs>
        <w:spacing w:before="1"/>
        <w:ind w:left="567" w:right="48" w:hanging="283"/>
        <w:jc w:val="both"/>
      </w:pPr>
      <w:r w:rsidRPr="0049002D">
        <w:t xml:space="preserve">Cullinane, K., Song, D-W and Gray, R. (2002) “A stochastic frontier model of the efficiency of major container terminals in Asia: assessing the influence of administrative and ownership structures”, </w:t>
      </w:r>
      <w:r w:rsidRPr="0049002D">
        <w:rPr>
          <w:i/>
        </w:rPr>
        <w:t xml:space="preserve">Transportation Research, </w:t>
      </w:r>
      <w:r w:rsidRPr="0049002D">
        <w:t>Part A 36, pp.</w:t>
      </w:r>
      <w:r w:rsidRPr="0049002D">
        <w:rPr>
          <w:spacing w:val="-5"/>
        </w:rPr>
        <w:t xml:space="preserve"> </w:t>
      </w:r>
      <w:r w:rsidRPr="0049002D">
        <w:t>743-762.</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 xml:space="preserve">Cullinane, K., Song, D-W and Wang. T-F. (2005) “The application of mathematical programming approaches to estimating container port production efficiency”. </w:t>
      </w:r>
      <w:r w:rsidRPr="0049002D">
        <w:rPr>
          <w:i/>
        </w:rPr>
        <w:t xml:space="preserve">Journal of Productivity Analysis. </w:t>
      </w:r>
      <w:r w:rsidRPr="0049002D">
        <w:t>24. pp.</w:t>
      </w:r>
      <w:r w:rsidRPr="0049002D">
        <w:rPr>
          <w:spacing w:val="-2"/>
        </w:rPr>
        <w:t xml:space="preserve"> </w:t>
      </w:r>
      <w:r w:rsidRPr="0049002D">
        <w:t>73-92.</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Cullinane, K. and Song, D-W. (2006) “Estimating the relative efficiency of European container ports: a stochastic frontier analysis”, Port Economics</w:t>
      </w:r>
      <w:r w:rsidRPr="0049002D">
        <w:rPr>
          <w:i/>
        </w:rPr>
        <w:t xml:space="preserve">, Research in Transportation Economics. </w:t>
      </w:r>
      <w:r w:rsidRPr="0049002D">
        <w:t>16, pp.</w:t>
      </w:r>
      <w:r w:rsidRPr="0049002D">
        <w:rPr>
          <w:spacing w:val="-30"/>
        </w:rPr>
        <w:t xml:space="preserve"> </w:t>
      </w:r>
      <w:r w:rsidRPr="0049002D">
        <w:t>85-115.</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Cullinane, K. and Wang, T-F. (2010) “The efficiency analysis of container port production using DEA panel data approaches”. REGULAR ARTICLE (2010) 32. pp.</w:t>
      </w:r>
      <w:r w:rsidRPr="0049002D">
        <w:rPr>
          <w:spacing w:val="-7"/>
        </w:rPr>
        <w:t xml:space="preserve"> </w:t>
      </w:r>
      <w:r w:rsidRPr="0049002D">
        <w:t>717-738.</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Ding, Z-Y.; JO, G-S.; Wang, y. and Yeo, G-T. (2015) “The Relative Efficiency of Container Terminals in Small</w:t>
      </w:r>
      <w:r w:rsidRPr="0049002D">
        <w:rPr>
          <w:spacing w:val="-3"/>
        </w:rPr>
        <w:t xml:space="preserve"> </w:t>
      </w:r>
      <w:r w:rsidRPr="0049002D">
        <w:t>and</w:t>
      </w:r>
      <w:r w:rsidRPr="0049002D">
        <w:rPr>
          <w:spacing w:val="-2"/>
        </w:rPr>
        <w:t xml:space="preserve"> </w:t>
      </w:r>
      <w:r w:rsidRPr="0049002D">
        <w:t>Medium-Sized</w:t>
      </w:r>
      <w:r w:rsidRPr="0049002D">
        <w:rPr>
          <w:spacing w:val="-3"/>
        </w:rPr>
        <w:t xml:space="preserve"> </w:t>
      </w:r>
      <w:r w:rsidRPr="0049002D">
        <w:t>Ports</w:t>
      </w:r>
      <w:r w:rsidRPr="0049002D">
        <w:rPr>
          <w:spacing w:val="-2"/>
        </w:rPr>
        <w:t xml:space="preserve"> </w:t>
      </w:r>
      <w:r w:rsidRPr="0049002D">
        <w:t>in</w:t>
      </w:r>
      <w:r w:rsidRPr="0049002D">
        <w:rPr>
          <w:spacing w:val="-3"/>
        </w:rPr>
        <w:t xml:space="preserve"> </w:t>
      </w:r>
      <w:r w:rsidRPr="0049002D">
        <w:t>China”,</w:t>
      </w:r>
      <w:r w:rsidRPr="0049002D">
        <w:rPr>
          <w:spacing w:val="-2"/>
        </w:rPr>
        <w:t xml:space="preserve"> </w:t>
      </w:r>
      <w:r w:rsidRPr="0049002D">
        <w:t>The</w:t>
      </w:r>
      <w:r w:rsidRPr="0049002D">
        <w:rPr>
          <w:spacing w:val="-2"/>
        </w:rPr>
        <w:t xml:space="preserve"> </w:t>
      </w:r>
      <w:r w:rsidRPr="0049002D">
        <w:t>Asian</w:t>
      </w:r>
      <w:r w:rsidRPr="0049002D">
        <w:rPr>
          <w:spacing w:val="-2"/>
        </w:rPr>
        <w:t xml:space="preserve"> </w:t>
      </w:r>
      <w:r w:rsidRPr="0049002D">
        <w:t>journal</w:t>
      </w:r>
      <w:r w:rsidRPr="0049002D">
        <w:rPr>
          <w:spacing w:val="-3"/>
        </w:rPr>
        <w:t xml:space="preserve"> </w:t>
      </w:r>
      <w:r w:rsidRPr="0049002D">
        <w:t>of</w:t>
      </w:r>
      <w:r w:rsidRPr="0049002D">
        <w:rPr>
          <w:spacing w:val="-2"/>
        </w:rPr>
        <w:t xml:space="preserve"> </w:t>
      </w:r>
      <w:r w:rsidRPr="0049002D">
        <w:t>shipping</w:t>
      </w:r>
      <w:r w:rsidRPr="0049002D">
        <w:rPr>
          <w:spacing w:val="-4"/>
        </w:rPr>
        <w:t xml:space="preserve"> </w:t>
      </w:r>
      <w:r w:rsidRPr="0049002D">
        <w:t>and</w:t>
      </w:r>
      <w:r w:rsidRPr="0049002D">
        <w:rPr>
          <w:spacing w:val="-3"/>
        </w:rPr>
        <w:t xml:space="preserve"> </w:t>
      </w:r>
      <w:r w:rsidRPr="0049002D">
        <w:t>logistics,</w:t>
      </w:r>
      <w:r w:rsidRPr="0049002D">
        <w:rPr>
          <w:spacing w:val="-2"/>
        </w:rPr>
        <w:t xml:space="preserve"> </w:t>
      </w:r>
      <w:r w:rsidRPr="0049002D">
        <w:t>31,</w:t>
      </w:r>
      <w:r w:rsidRPr="0049002D">
        <w:rPr>
          <w:spacing w:val="-3"/>
        </w:rPr>
        <w:t xml:space="preserve"> </w:t>
      </w:r>
      <w:r w:rsidRPr="0049002D">
        <w:t>pp.</w:t>
      </w:r>
      <w:r w:rsidRPr="0049002D">
        <w:rPr>
          <w:spacing w:val="-3"/>
        </w:rPr>
        <w:t xml:space="preserve"> </w:t>
      </w:r>
      <w:r w:rsidRPr="0049002D">
        <w:t>231-251.</w:t>
      </w:r>
    </w:p>
    <w:p w:rsidR="006D181B" w:rsidRPr="0049002D" w:rsidRDefault="00CA4D04" w:rsidP="00CA4D04">
      <w:pPr>
        <w:pStyle w:val="ListParagraph"/>
        <w:numPr>
          <w:ilvl w:val="0"/>
          <w:numId w:val="1"/>
        </w:numPr>
        <w:tabs>
          <w:tab w:val="left" w:pos="1550"/>
          <w:tab w:val="left" w:pos="9356"/>
        </w:tabs>
        <w:ind w:left="567" w:right="48" w:hanging="283"/>
        <w:jc w:val="both"/>
      </w:pPr>
      <w:r w:rsidRPr="0049002D">
        <w:t>Elgazzar, S., Tipi, N.S., Hubbard, N.J. and Leach, D.Z. (2010) “Incorporating fuzzy AHP in SCOR model for measuring supply chain operations performance: a case study of an Egyptian natural bottled water company”. In: Proceedings of the 15th Annual Logistics Research Network Conference (LRN 2010), Harrogate, UK, 8-10 September 2010,</w:t>
      </w:r>
      <w:r w:rsidRPr="0049002D">
        <w:rPr>
          <w:spacing w:val="-5"/>
        </w:rPr>
        <w:t xml:space="preserve"> </w:t>
      </w:r>
      <w:r w:rsidRPr="0049002D">
        <w:t>pp.180-187.</w:t>
      </w:r>
    </w:p>
    <w:p w:rsidR="004046B0" w:rsidRPr="0049002D" w:rsidRDefault="00CA4D04" w:rsidP="00292A5E">
      <w:pPr>
        <w:pStyle w:val="ListParagraph"/>
        <w:numPr>
          <w:ilvl w:val="0"/>
          <w:numId w:val="1"/>
        </w:numPr>
        <w:tabs>
          <w:tab w:val="left" w:pos="1550"/>
          <w:tab w:val="left" w:pos="9356"/>
        </w:tabs>
        <w:spacing w:before="79"/>
        <w:ind w:left="567" w:right="48" w:hanging="283"/>
        <w:jc w:val="both"/>
      </w:pPr>
      <w:r w:rsidRPr="0049002D">
        <w:t>Elsayeh, M. (2015) “</w:t>
      </w:r>
      <w:r w:rsidRPr="0049002D">
        <w:rPr>
          <w:i/>
        </w:rPr>
        <w:t xml:space="preserve">The impact of port technical efficiency on Mediterranean container port competitiveness”, </w:t>
      </w:r>
      <w:r w:rsidRPr="0049002D">
        <w:t>PhD Thesis. University of</w:t>
      </w:r>
      <w:r w:rsidRPr="0049002D">
        <w:rPr>
          <w:spacing w:val="-4"/>
        </w:rPr>
        <w:t xml:space="preserve"> </w:t>
      </w:r>
      <w:r w:rsidRPr="0049002D">
        <w:t>Huddersfield.</w:t>
      </w:r>
    </w:p>
    <w:p w:rsidR="006D181B" w:rsidRPr="0049002D" w:rsidRDefault="00CA4D04" w:rsidP="004046B0">
      <w:pPr>
        <w:pStyle w:val="ListParagraph"/>
        <w:numPr>
          <w:ilvl w:val="0"/>
          <w:numId w:val="1"/>
        </w:numPr>
        <w:tabs>
          <w:tab w:val="left" w:pos="1550"/>
          <w:tab w:val="left" w:pos="9356"/>
        </w:tabs>
        <w:ind w:left="567" w:right="48" w:hanging="283"/>
        <w:jc w:val="both"/>
      </w:pPr>
      <w:r w:rsidRPr="0049002D">
        <w:t>EMDB, 2015. “</w:t>
      </w:r>
      <w:r w:rsidRPr="0049002D">
        <w:rPr>
          <w:i/>
        </w:rPr>
        <w:t xml:space="preserve">Maritime Ports Guide (commercial and specialized)”. </w:t>
      </w:r>
      <w:r w:rsidRPr="0049002D">
        <w:t>EMDB management &amp; operation project. Arab Republic of Egypt. Ministry of transport. Maritime transport</w:t>
      </w:r>
      <w:r w:rsidRPr="0049002D">
        <w:rPr>
          <w:spacing w:val="-12"/>
        </w:rPr>
        <w:t xml:space="preserve"> </w:t>
      </w:r>
      <w:r w:rsidRPr="0049002D">
        <w:t>sector.</w:t>
      </w:r>
    </w:p>
    <w:p w:rsidR="006D181B" w:rsidRPr="0049002D" w:rsidRDefault="00CA4D04" w:rsidP="00CA4D04">
      <w:pPr>
        <w:pStyle w:val="ListParagraph"/>
        <w:numPr>
          <w:ilvl w:val="0"/>
          <w:numId w:val="1"/>
        </w:numPr>
        <w:tabs>
          <w:tab w:val="left" w:pos="1550"/>
        </w:tabs>
        <w:ind w:left="567" w:right="48" w:hanging="283"/>
        <w:jc w:val="both"/>
      </w:pPr>
      <w:r w:rsidRPr="0049002D">
        <w:t>Hood, G. M. (2010) PopTools version 3.2.5. [on line] Available at:</w:t>
      </w:r>
      <w:r w:rsidRPr="0049002D">
        <w:rPr>
          <w:spacing w:val="-8"/>
        </w:rPr>
        <w:t xml:space="preserve"> </w:t>
      </w:r>
      <w:hyperlink r:id="rId9">
        <w:r w:rsidRPr="0049002D">
          <w:rPr>
            <w:u w:val="single"/>
          </w:rPr>
          <w:t>http://www.poptools.org</w:t>
        </w:r>
      </w:hyperlink>
    </w:p>
    <w:p w:rsidR="006D181B" w:rsidRPr="0049002D" w:rsidRDefault="00CA4D04" w:rsidP="00CA4D04">
      <w:pPr>
        <w:pStyle w:val="ListParagraph"/>
        <w:numPr>
          <w:ilvl w:val="0"/>
          <w:numId w:val="1"/>
        </w:numPr>
        <w:tabs>
          <w:tab w:val="left" w:pos="1550"/>
        </w:tabs>
        <w:spacing w:before="1"/>
        <w:ind w:left="567" w:right="48" w:hanging="283"/>
        <w:jc w:val="both"/>
      </w:pPr>
      <w:r w:rsidRPr="0049002D">
        <w:t>Haralambides, E. H. (2012) “Ports: engines for growth and employment”, European Ports Policy Review,Availablefrom:</w:t>
      </w:r>
      <w:hyperlink r:id="rId10">
        <w:r w:rsidRPr="0049002D">
          <w:t>https://www.researchgate.net/publication/294872325_Ports_Engines_for_</w:t>
        </w:r>
        <w:r w:rsidRPr="0049002D">
          <w:lastRenderedPageBreak/>
          <w:t>Gr</w:t>
        </w:r>
      </w:hyperlink>
      <w:hyperlink r:id="rId11">
        <w:r w:rsidRPr="0049002D">
          <w:t>owth_and_Employment.</w:t>
        </w:r>
      </w:hyperlink>
    </w:p>
    <w:p w:rsidR="006D181B" w:rsidRPr="0049002D" w:rsidRDefault="00CA4D04" w:rsidP="00CA4D04">
      <w:pPr>
        <w:pStyle w:val="ListParagraph"/>
        <w:numPr>
          <w:ilvl w:val="0"/>
          <w:numId w:val="1"/>
        </w:numPr>
        <w:tabs>
          <w:tab w:val="left" w:pos="1550"/>
        </w:tabs>
        <w:ind w:left="567" w:right="48" w:hanging="283"/>
        <w:jc w:val="both"/>
      </w:pPr>
      <w:r w:rsidRPr="0049002D">
        <w:t xml:space="preserve">Hlali, A. (2018) “Efficiency Analysis with Different Models: The Case of Container Ports”. </w:t>
      </w:r>
      <w:r w:rsidRPr="0049002D">
        <w:rPr>
          <w:i/>
        </w:rPr>
        <w:t xml:space="preserve">Journal of Marine Science: Research &amp; Development. </w:t>
      </w:r>
      <w:r w:rsidRPr="0049002D">
        <w:t>8</w:t>
      </w:r>
      <w:r w:rsidRPr="0049002D">
        <w:rPr>
          <w:spacing w:val="-3"/>
        </w:rPr>
        <w:t xml:space="preserve"> </w:t>
      </w:r>
      <w:r w:rsidRPr="0049002D">
        <w:t>(2).</w:t>
      </w:r>
    </w:p>
    <w:p w:rsidR="006D181B" w:rsidRPr="0049002D" w:rsidRDefault="00CA4D04" w:rsidP="004E7143">
      <w:pPr>
        <w:pStyle w:val="ListParagraph"/>
        <w:numPr>
          <w:ilvl w:val="0"/>
          <w:numId w:val="1"/>
        </w:numPr>
        <w:tabs>
          <w:tab w:val="left" w:pos="1550"/>
        </w:tabs>
        <w:ind w:left="567" w:right="48" w:hanging="283"/>
        <w:jc w:val="both"/>
      </w:pPr>
      <w:r w:rsidRPr="0049002D">
        <w:t>Herrera, S. and Pang, G. (2008) “Efficiency of Infrastructure: The Case of Container Ports”,</w:t>
      </w:r>
      <w:r w:rsidRPr="0049002D">
        <w:rPr>
          <w:spacing w:val="20"/>
        </w:rPr>
        <w:t xml:space="preserve"> </w:t>
      </w:r>
      <w:r w:rsidRPr="0049002D">
        <w:rPr>
          <w:i/>
        </w:rPr>
        <w:t>EconomiA.</w:t>
      </w:r>
      <w:r w:rsidR="004046B0" w:rsidRPr="0049002D">
        <w:rPr>
          <w:rFonts w:hint="cs"/>
          <w:i/>
        </w:rPr>
        <w:t xml:space="preserve"> </w:t>
      </w:r>
      <w:r w:rsidRPr="0049002D">
        <w:t>9 (1), pp. 165-194</w:t>
      </w:r>
    </w:p>
    <w:p w:rsidR="006D181B" w:rsidRPr="0049002D" w:rsidRDefault="00CA4D04" w:rsidP="00CA4D04">
      <w:pPr>
        <w:pStyle w:val="ListParagraph"/>
        <w:numPr>
          <w:ilvl w:val="0"/>
          <w:numId w:val="1"/>
        </w:numPr>
        <w:tabs>
          <w:tab w:val="left" w:pos="1550"/>
        </w:tabs>
        <w:spacing w:before="1"/>
        <w:ind w:left="567" w:right="48" w:hanging="283"/>
        <w:jc w:val="both"/>
      </w:pPr>
      <w:r w:rsidRPr="0049002D">
        <w:t xml:space="preserve">Jimenez, Z. I., Gutiérrez, A. and Ortiz, C. (2013) “Port Efficiency in APEC”, </w:t>
      </w:r>
      <w:r w:rsidRPr="0049002D">
        <w:rPr>
          <w:i/>
        </w:rPr>
        <w:t xml:space="preserve">México y la Cuenca del Pacífico, </w:t>
      </w:r>
      <w:r w:rsidRPr="0049002D">
        <w:t>3, pp.</w:t>
      </w:r>
      <w:r w:rsidRPr="0049002D">
        <w:rPr>
          <w:spacing w:val="-3"/>
        </w:rPr>
        <w:t xml:space="preserve"> </w:t>
      </w:r>
      <w:r w:rsidRPr="0049002D">
        <w:t>41-74.</w:t>
      </w:r>
    </w:p>
    <w:p w:rsidR="006D181B" w:rsidRPr="0049002D" w:rsidRDefault="00CA4D04" w:rsidP="00185BAF">
      <w:pPr>
        <w:pStyle w:val="ListParagraph"/>
        <w:numPr>
          <w:ilvl w:val="0"/>
          <w:numId w:val="1"/>
        </w:numPr>
        <w:tabs>
          <w:tab w:val="left" w:pos="1550"/>
        </w:tabs>
        <w:ind w:left="567" w:right="48" w:hanging="283"/>
        <w:jc w:val="both"/>
      </w:pPr>
      <w:r w:rsidRPr="0049002D">
        <w:t>Kousalya,</w:t>
      </w:r>
      <w:r w:rsidRPr="0049002D">
        <w:rPr>
          <w:spacing w:val="6"/>
        </w:rPr>
        <w:t xml:space="preserve"> </w:t>
      </w:r>
      <w:r w:rsidRPr="0049002D">
        <w:t>P.,</w:t>
      </w:r>
      <w:r w:rsidRPr="0049002D">
        <w:rPr>
          <w:spacing w:val="5"/>
        </w:rPr>
        <w:t xml:space="preserve"> </w:t>
      </w:r>
      <w:r w:rsidRPr="0049002D">
        <w:t>Reddy</w:t>
      </w:r>
      <w:r w:rsidRPr="0049002D">
        <w:rPr>
          <w:spacing w:val="6"/>
        </w:rPr>
        <w:t xml:space="preserve"> </w:t>
      </w:r>
      <w:r w:rsidRPr="0049002D">
        <w:t>G.</w:t>
      </w:r>
      <w:r w:rsidRPr="0049002D">
        <w:rPr>
          <w:spacing w:val="5"/>
        </w:rPr>
        <w:t xml:space="preserve"> </w:t>
      </w:r>
      <w:r w:rsidRPr="0049002D">
        <w:t>M.,</w:t>
      </w:r>
      <w:r w:rsidRPr="0049002D">
        <w:rPr>
          <w:spacing w:val="7"/>
        </w:rPr>
        <w:t xml:space="preserve"> </w:t>
      </w:r>
      <w:r w:rsidRPr="0049002D">
        <w:t>Supraja,</w:t>
      </w:r>
      <w:r w:rsidRPr="0049002D">
        <w:rPr>
          <w:spacing w:val="6"/>
        </w:rPr>
        <w:t xml:space="preserve"> </w:t>
      </w:r>
      <w:r w:rsidRPr="0049002D">
        <w:t>S.</w:t>
      </w:r>
      <w:r w:rsidRPr="0049002D">
        <w:rPr>
          <w:spacing w:val="5"/>
        </w:rPr>
        <w:t xml:space="preserve"> </w:t>
      </w:r>
      <w:r w:rsidRPr="0049002D">
        <w:t>and</w:t>
      </w:r>
      <w:r w:rsidRPr="0049002D">
        <w:rPr>
          <w:spacing w:val="6"/>
        </w:rPr>
        <w:t xml:space="preserve"> </w:t>
      </w:r>
      <w:r w:rsidRPr="0049002D">
        <w:t>Prasad</w:t>
      </w:r>
      <w:r w:rsidRPr="0049002D">
        <w:rPr>
          <w:spacing w:val="5"/>
        </w:rPr>
        <w:t xml:space="preserve"> </w:t>
      </w:r>
      <w:r w:rsidRPr="0049002D">
        <w:t>V.</w:t>
      </w:r>
      <w:r w:rsidRPr="0049002D">
        <w:rPr>
          <w:spacing w:val="5"/>
        </w:rPr>
        <w:t xml:space="preserve"> </w:t>
      </w:r>
      <w:r w:rsidRPr="0049002D">
        <w:t>S.</w:t>
      </w:r>
      <w:r w:rsidRPr="0049002D">
        <w:rPr>
          <w:spacing w:val="5"/>
        </w:rPr>
        <w:t xml:space="preserve"> </w:t>
      </w:r>
      <w:r w:rsidRPr="0049002D">
        <w:t>(2012)</w:t>
      </w:r>
      <w:r w:rsidRPr="0049002D">
        <w:rPr>
          <w:spacing w:val="5"/>
        </w:rPr>
        <w:t xml:space="preserve"> </w:t>
      </w:r>
      <w:r w:rsidRPr="0049002D">
        <w:t>“Analytical</w:t>
      </w:r>
      <w:r w:rsidRPr="0049002D">
        <w:rPr>
          <w:spacing w:val="5"/>
        </w:rPr>
        <w:t xml:space="preserve"> </w:t>
      </w:r>
      <w:r w:rsidRPr="0049002D">
        <w:t>Hierarchy</w:t>
      </w:r>
      <w:r w:rsidRPr="0049002D">
        <w:rPr>
          <w:spacing w:val="5"/>
        </w:rPr>
        <w:t xml:space="preserve"> </w:t>
      </w:r>
      <w:r w:rsidRPr="0049002D">
        <w:t>Process</w:t>
      </w:r>
      <w:r w:rsidRPr="0049002D">
        <w:rPr>
          <w:spacing w:val="6"/>
        </w:rPr>
        <w:t xml:space="preserve"> </w:t>
      </w:r>
      <w:r w:rsidRPr="0049002D">
        <w:t>approach</w:t>
      </w:r>
      <w:r w:rsidR="004046B0" w:rsidRPr="0049002D">
        <w:rPr>
          <w:rFonts w:hint="cs"/>
        </w:rPr>
        <w:t xml:space="preserve"> </w:t>
      </w:r>
      <w:r w:rsidRPr="0049002D">
        <w:t xml:space="preserve">– An application of engineering education”, </w:t>
      </w:r>
      <w:r w:rsidRPr="0049002D">
        <w:rPr>
          <w:i/>
        </w:rPr>
        <w:t xml:space="preserve">Mathematica Aeterna. </w:t>
      </w:r>
      <w:r w:rsidRPr="0049002D">
        <w:t>2 (10), pp. 861-878.</w:t>
      </w:r>
    </w:p>
    <w:p w:rsidR="006D181B" w:rsidRPr="0049002D" w:rsidRDefault="00CA4D04" w:rsidP="00CA4D04">
      <w:pPr>
        <w:pStyle w:val="ListParagraph"/>
        <w:numPr>
          <w:ilvl w:val="0"/>
          <w:numId w:val="1"/>
        </w:numPr>
        <w:tabs>
          <w:tab w:val="left" w:pos="1550"/>
        </w:tabs>
        <w:ind w:left="567" w:right="48" w:hanging="283"/>
        <w:jc w:val="both"/>
      </w:pPr>
      <w:hyperlink r:id="rId12">
        <w:r w:rsidRPr="0049002D">
          <w:t xml:space="preserve">Kutin, </w:t>
        </w:r>
      </w:hyperlink>
      <w:r w:rsidRPr="0049002D">
        <w:t xml:space="preserve">N., </w:t>
      </w:r>
      <w:hyperlink r:id="rId13">
        <w:r w:rsidRPr="0049002D">
          <w:t xml:space="preserve">Nguyen, </w:t>
        </w:r>
      </w:hyperlink>
      <w:r w:rsidRPr="0049002D">
        <w:t xml:space="preserve">T., H. and </w:t>
      </w:r>
      <w:hyperlink r:id="rId14">
        <w:r w:rsidRPr="0049002D">
          <w:t xml:space="preserve">Vallée, </w:t>
        </w:r>
      </w:hyperlink>
      <w:r w:rsidRPr="0049002D">
        <w:t>T. (2017) “Relative Efficiencies of ASEAN Container Ports based on Data Envelopment Analysis</w:t>
      </w:r>
      <w:r w:rsidRPr="0049002D">
        <w:rPr>
          <w:i/>
        </w:rPr>
        <w:t>”, Asian Journal of Shipping and Logistics</w:t>
      </w:r>
      <w:r w:rsidRPr="0049002D">
        <w:t>. 33 (2), pp.</w:t>
      </w:r>
      <w:r w:rsidRPr="0049002D">
        <w:rPr>
          <w:spacing w:val="-18"/>
        </w:rPr>
        <w:t xml:space="preserve"> </w:t>
      </w:r>
      <w:r w:rsidRPr="0049002D">
        <w:t>67-77.</w:t>
      </w:r>
    </w:p>
    <w:p w:rsidR="006D181B" w:rsidRPr="0049002D" w:rsidRDefault="00CA4D04" w:rsidP="00CA4D04">
      <w:pPr>
        <w:pStyle w:val="ListParagraph"/>
        <w:numPr>
          <w:ilvl w:val="0"/>
          <w:numId w:val="1"/>
        </w:numPr>
        <w:tabs>
          <w:tab w:val="left" w:pos="1550"/>
        </w:tabs>
        <w:spacing w:before="1"/>
        <w:ind w:left="567" w:right="48" w:hanging="283"/>
        <w:jc w:val="both"/>
      </w:pPr>
      <w:r w:rsidRPr="0049002D">
        <w:t>Li,</w:t>
      </w:r>
      <w:r w:rsidRPr="0049002D">
        <w:rPr>
          <w:spacing w:val="-4"/>
        </w:rPr>
        <w:t xml:space="preserve"> </w:t>
      </w:r>
      <w:r w:rsidRPr="0049002D">
        <w:t>T.</w:t>
      </w:r>
      <w:r w:rsidRPr="0049002D">
        <w:rPr>
          <w:spacing w:val="-4"/>
        </w:rPr>
        <w:t xml:space="preserve"> </w:t>
      </w:r>
      <w:r w:rsidRPr="0049002D">
        <w:t>G.</w:t>
      </w:r>
      <w:r w:rsidRPr="0049002D">
        <w:rPr>
          <w:spacing w:val="-3"/>
        </w:rPr>
        <w:t xml:space="preserve"> </w:t>
      </w:r>
      <w:r w:rsidRPr="0049002D">
        <w:t>and</w:t>
      </w:r>
      <w:r w:rsidRPr="0049002D">
        <w:rPr>
          <w:spacing w:val="-2"/>
        </w:rPr>
        <w:t xml:space="preserve"> </w:t>
      </w:r>
      <w:r w:rsidRPr="0049002D">
        <w:t>Yang,</w:t>
      </w:r>
      <w:r w:rsidRPr="0049002D">
        <w:rPr>
          <w:spacing w:val="-4"/>
        </w:rPr>
        <w:t xml:space="preserve"> </w:t>
      </w:r>
      <w:r w:rsidRPr="0049002D">
        <w:t>B.</w:t>
      </w:r>
      <w:r w:rsidRPr="0049002D">
        <w:rPr>
          <w:spacing w:val="-3"/>
        </w:rPr>
        <w:t xml:space="preserve"> </w:t>
      </w:r>
      <w:r w:rsidRPr="0049002D">
        <w:t>(2010)</w:t>
      </w:r>
      <w:r w:rsidRPr="0049002D">
        <w:rPr>
          <w:spacing w:val="-4"/>
        </w:rPr>
        <w:t xml:space="preserve"> </w:t>
      </w:r>
      <w:r w:rsidRPr="0049002D">
        <w:t>“Study</w:t>
      </w:r>
      <w:r w:rsidRPr="0049002D">
        <w:rPr>
          <w:spacing w:val="-4"/>
        </w:rPr>
        <w:t xml:space="preserve"> </w:t>
      </w:r>
      <w:r w:rsidRPr="0049002D">
        <w:t>on</w:t>
      </w:r>
      <w:r w:rsidRPr="0049002D">
        <w:rPr>
          <w:spacing w:val="-2"/>
        </w:rPr>
        <w:t xml:space="preserve"> </w:t>
      </w:r>
      <w:r w:rsidRPr="0049002D">
        <w:t>Green</w:t>
      </w:r>
      <w:r w:rsidRPr="0049002D">
        <w:rPr>
          <w:spacing w:val="-4"/>
        </w:rPr>
        <w:t xml:space="preserve"> </w:t>
      </w:r>
      <w:r w:rsidRPr="0049002D">
        <w:t>Logistics</w:t>
      </w:r>
      <w:r w:rsidRPr="0049002D">
        <w:rPr>
          <w:spacing w:val="-2"/>
        </w:rPr>
        <w:t xml:space="preserve"> </w:t>
      </w:r>
      <w:r w:rsidRPr="0049002D">
        <w:t>Operation</w:t>
      </w:r>
      <w:r w:rsidRPr="0049002D">
        <w:rPr>
          <w:spacing w:val="-3"/>
        </w:rPr>
        <w:t xml:space="preserve"> </w:t>
      </w:r>
      <w:r w:rsidRPr="0049002D">
        <w:t>System</w:t>
      </w:r>
      <w:r w:rsidRPr="0049002D">
        <w:rPr>
          <w:spacing w:val="-4"/>
        </w:rPr>
        <w:t xml:space="preserve"> </w:t>
      </w:r>
      <w:r w:rsidRPr="0049002D">
        <w:t>of</w:t>
      </w:r>
      <w:r w:rsidRPr="0049002D">
        <w:rPr>
          <w:spacing w:val="-4"/>
        </w:rPr>
        <w:t xml:space="preserve"> </w:t>
      </w:r>
      <w:r w:rsidRPr="0049002D">
        <w:t>Port</w:t>
      </w:r>
      <w:r w:rsidRPr="0049002D">
        <w:rPr>
          <w:spacing w:val="-3"/>
        </w:rPr>
        <w:t xml:space="preserve"> </w:t>
      </w:r>
      <w:r w:rsidRPr="0049002D">
        <w:t>Based</w:t>
      </w:r>
      <w:r w:rsidRPr="0049002D">
        <w:rPr>
          <w:spacing w:val="-4"/>
        </w:rPr>
        <w:t xml:space="preserve"> </w:t>
      </w:r>
      <w:r w:rsidRPr="0049002D">
        <w:t>on</w:t>
      </w:r>
      <w:r w:rsidRPr="0049002D">
        <w:rPr>
          <w:spacing w:val="-4"/>
        </w:rPr>
        <w:t xml:space="preserve"> </w:t>
      </w:r>
      <w:r w:rsidRPr="0049002D">
        <w:t>AHP-fuzzy</w:t>
      </w:r>
    </w:p>
    <w:p w:rsidR="006D181B" w:rsidRPr="0049002D" w:rsidRDefault="00CA4D04" w:rsidP="00CA4D04">
      <w:pPr>
        <w:pStyle w:val="ListParagraph"/>
        <w:numPr>
          <w:ilvl w:val="0"/>
          <w:numId w:val="1"/>
        </w:numPr>
        <w:tabs>
          <w:tab w:val="left" w:pos="1550"/>
        </w:tabs>
        <w:ind w:left="567" w:right="48" w:hanging="283"/>
        <w:jc w:val="both"/>
        <w:rPr>
          <w:i/>
        </w:rPr>
      </w:pPr>
      <w:r w:rsidRPr="0049002D">
        <w:t xml:space="preserve">Comprehensive Evaluation”. </w:t>
      </w:r>
      <w:r w:rsidRPr="0049002D">
        <w:rPr>
          <w:i/>
        </w:rPr>
        <w:t>2nd International Conference on Industrial and Information</w:t>
      </w:r>
      <w:r w:rsidRPr="0049002D">
        <w:rPr>
          <w:i/>
          <w:spacing w:val="-16"/>
        </w:rPr>
        <w:t xml:space="preserve"> </w:t>
      </w:r>
      <w:r w:rsidRPr="0049002D">
        <w:rPr>
          <w:i/>
        </w:rPr>
        <w:t>Systems.</w:t>
      </w:r>
    </w:p>
    <w:p w:rsidR="006D181B" w:rsidRPr="0049002D" w:rsidRDefault="00CA4D04" w:rsidP="00CA4D04">
      <w:pPr>
        <w:pStyle w:val="ListParagraph"/>
        <w:numPr>
          <w:ilvl w:val="0"/>
          <w:numId w:val="1"/>
        </w:numPr>
        <w:tabs>
          <w:tab w:val="left" w:pos="1550"/>
        </w:tabs>
        <w:ind w:left="567" w:right="48" w:hanging="283"/>
        <w:jc w:val="both"/>
      </w:pPr>
      <w:r w:rsidRPr="0049002D">
        <w:t xml:space="preserve">Liu, Z. (1995) “The comparative performance of public and private enterprises”. </w:t>
      </w:r>
      <w:r w:rsidRPr="0049002D">
        <w:rPr>
          <w:i/>
        </w:rPr>
        <w:t xml:space="preserve">Journal of Transportation Economics and Policy. </w:t>
      </w:r>
      <w:r w:rsidRPr="0049002D">
        <w:t>September. pp.</w:t>
      </w:r>
      <w:r w:rsidRPr="0049002D">
        <w:rPr>
          <w:spacing w:val="-3"/>
        </w:rPr>
        <w:t xml:space="preserve"> </w:t>
      </w:r>
      <w:r w:rsidRPr="0049002D">
        <w:t>263-274.</w:t>
      </w:r>
    </w:p>
    <w:p w:rsidR="006D181B" w:rsidRPr="0049002D" w:rsidRDefault="00CA4D04" w:rsidP="00CA4D04">
      <w:pPr>
        <w:pStyle w:val="ListParagraph"/>
        <w:numPr>
          <w:ilvl w:val="0"/>
          <w:numId w:val="1"/>
        </w:numPr>
        <w:tabs>
          <w:tab w:val="left" w:pos="1550"/>
        </w:tabs>
        <w:ind w:left="567" w:right="48" w:hanging="283"/>
        <w:jc w:val="both"/>
      </w:pPr>
      <w:r w:rsidRPr="0049002D">
        <w:t xml:space="preserve">Lu, B. and Wang, S. (2017) </w:t>
      </w:r>
      <w:r w:rsidRPr="0049002D">
        <w:rPr>
          <w:i/>
        </w:rPr>
        <w:t xml:space="preserve">Container Port Production and Management. </w:t>
      </w:r>
      <w:r w:rsidRPr="0049002D">
        <w:t>1st ed.</w:t>
      </w:r>
      <w:r w:rsidRPr="0049002D">
        <w:rPr>
          <w:spacing w:val="-10"/>
        </w:rPr>
        <w:t xml:space="preserve"> </w:t>
      </w:r>
      <w:r w:rsidRPr="0049002D">
        <w:t>Beijing.</w:t>
      </w:r>
    </w:p>
    <w:p w:rsidR="006D181B" w:rsidRPr="0049002D" w:rsidRDefault="00CA4D04" w:rsidP="00CA4D04">
      <w:pPr>
        <w:pStyle w:val="ListParagraph"/>
        <w:numPr>
          <w:ilvl w:val="0"/>
          <w:numId w:val="1"/>
        </w:numPr>
        <w:tabs>
          <w:tab w:val="left" w:pos="1550"/>
        </w:tabs>
        <w:spacing w:before="1"/>
        <w:ind w:left="567" w:right="48" w:hanging="283"/>
        <w:jc w:val="both"/>
      </w:pPr>
      <w:r w:rsidRPr="0049002D">
        <w:t xml:space="preserve">Tongzon, J. L. (2001) “Efficiency measurement of selected Australian and other international ports using data envelopment analysis”. </w:t>
      </w:r>
      <w:r w:rsidRPr="0049002D">
        <w:rPr>
          <w:i/>
        </w:rPr>
        <w:t xml:space="preserve">Transportation Research. </w:t>
      </w:r>
      <w:r w:rsidRPr="0049002D">
        <w:t>Part A 35. pp.</w:t>
      </w:r>
      <w:r w:rsidRPr="0049002D">
        <w:rPr>
          <w:spacing w:val="-11"/>
        </w:rPr>
        <w:t xml:space="preserve"> </w:t>
      </w:r>
      <w:r w:rsidRPr="0049002D">
        <w:t>107-122</w:t>
      </w:r>
    </w:p>
    <w:p w:rsidR="006D181B" w:rsidRPr="0049002D" w:rsidRDefault="00CA4D04" w:rsidP="00CA4D04">
      <w:pPr>
        <w:pStyle w:val="ListParagraph"/>
        <w:numPr>
          <w:ilvl w:val="0"/>
          <w:numId w:val="1"/>
        </w:numPr>
        <w:tabs>
          <w:tab w:val="left" w:pos="9356"/>
        </w:tabs>
        <w:ind w:left="567" w:right="48" w:hanging="283"/>
        <w:jc w:val="both"/>
      </w:pPr>
      <w:r w:rsidRPr="0049002D">
        <w:t xml:space="preserve">Maersk  (2015)  Maersk  Home  Page,  1  August  2015, </w:t>
      </w:r>
      <w:r w:rsidRPr="0049002D">
        <w:rPr>
          <w:spacing w:val="20"/>
        </w:rPr>
        <w:t xml:space="preserve"> </w:t>
      </w:r>
      <w:r w:rsidRPr="0049002D">
        <w:t>Available  from:</w:t>
      </w:r>
      <w:r w:rsidRPr="0049002D">
        <w:rPr>
          <w:rFonts w:hint="cs"/>
        </w:rPr>
        <w:t xml:space="preserve"> </w:t>
      </w:r>
      <w:hyperlink r:id="rId15">
        <w:r w:rsidRPr="0049002D">
          <w:t>https://www.maersk.com/-</w:t>
        </w:r>
      </w:hyperlink>
      <w:hyperlink r:id="rId16">
        <w:r w:rsidRPr="0049002D">
          <w:rPr>
            <w:w w:val="95"/>
          </w:rPr>
          <w:t>/media/press/trade-reports/africa/egypt/connecting-markets---the-suez-view_large-version.ashx.</w:t>
        </w:r>
      </w:hyperlink>
      <w:r w:rsidRPr="0049002D">
        <w:rPr>
          <w:w w:val="95"/>
        </w:rPr>
        <w:t xml:space="preserve"> </w:t>
      </w:r>
      <w:r w:rsidRPr="0049002D">
        <w:t>[Accessed: 1st December 2017].</w:t>
      </w:r>
    </w:p>
    <w:p w:rsidR="006D181B" w:rsidRPr="0049002D" w:rsidRDefault="00CA4D04" w:rsidP="00CA4D04">
      <w:pPr>
        <w:pStyle w:val="ListParagraph"/>
        <w:numPr>
          <w:ilvl w:val="0"/>
          <w:numId w:val="1"/>
        </w:numPr>
        <w:tabs>
          <w:tab w:val="left" w:pos="1550"/>
        </w:tabs>
        <w:ind w:left="567" w:right="48" w:hanging="283"/>
        <w:jc w:val="both"/>
      </w:pPr>
      <w:hyperlink r:id="rId17">
        <w:r w:rsidRPr="0049002D">
          <w:t>Mu,</w:t>
        </w:r>
      </w:hyperlink>
      <w:r w:rsidRPr="0049002D">
        <w:t xml:space="preserve"> E. and </w:t>
      </w:r>
      <w:hyperlink r:id="rId18">
        <w:r w:rsidRPr="0049002D">
          <w:t>Rojas,</w:t>
        </w:r>
      </w:hyperlink>
      <w:r w:rsidRPr="0049002D">
        <w:t xml:space="preserve"> M. P. (2017) “Understanding the Analytic Hierarchy Process”. Practical Decision Making using Super Decisions. pp.</w:t>
      </w:r>
      <w:r w:rsidRPr="0049002D">
        <w:rPr>
          <w:spacing w:val="-4"/>
        </w:rPr>
        <w:t xml:space="preserve"> </w:t>
      </w:r>
      <w:r w:rsidRPr="0049002D">
        <w:t>7-22.</w:t>
      </w:r>
    </w:p>
    <w:p w:rsidR="006D181B" w:rsidRPr="0049002D" w:rsidRDefault="00CA4D04" w:rsidP="00CA4D04">
      <w:pPr>
        <w:pStyle w:val="ListParagraph"/>
        <w:numPr>
          <w:ilvl w:val="0"/>
          <w:numId w:val="1"/>
        </w:numPr>
        <w:tabs>
          <w:tab w:val="left" w:pos="1550"/>
        </w:tabs>
        <w:spacing w:before="1"/>
        <w:ind w:left="567" w:right="48" w:hanging="283"/>
        <w:jc w:val="both"/>
      </w:pPr>
      <w:r w:rsidRPr="0049002D">
        <w:t xml:space="preserve">Muhisn, Z. A. L., Omar, M., Ahmad, M. and Muhisn, S. A. (2015) “Team Leader Selection by Using an Analytic Hierarchy Process (AHP) Technique”, </w:t>
      </w:r>
      <w:r w:rsidRPr="0049002D">
        <w:rPr>
          <w:i/>
        </w:rPr>
        <w:t xml:space="preserve">Journal of Software, </w:t>
      </w:r>
      <w:r w:rsidRPr="0049002D">
        <w:t>10 (10), pp.</w:t>
      </w:r>
      <w:r w:rsidRPr="0049002D">
        <w:rPr>
          <w:spacing w:val="-16"/>
        </w:rPr>
        <w:t xml:space="preserve"> </w:t>
      </w:r>
      <w:r w:rsidRPr="0049002D">
        <w:t>1216-1227.</w:t>
      </w:r>
    </w:p>
    <w:p w:rsidR="006D181B" w:rsidRPr="0049002D" w:rsidRDefault="00CA4D04" w:rsidP="00CA4D04">
      <w:pPr>
        <w:pStyle w:val="ListParagraph"/>
        <w:numPr>
          <w:ilvl w:val="0"/>
          <w:numId w:val="1"/>
        </w:numPr>
        <w:tabs>
          <w:tab w:val="left" w:pos="1550"/>
        </w:tabs>
        <w:ind w:left="567" w:right="48" w:hanging="283"/>
        <w:jc w:val="both"/>
      </w:pPr>
      <w:r w:rsidRPr="0049002D">
        <w:t xml:space="preserve">Merk, O. and Dang, T. T. (2012) “Efficiency of world ports in container and bulk cargo (oil, coal, ores and grain)”. </w:t>
      </w:r>
      <w:r w:rsidRPr="0049002D">
        <w:rPr>
          <w:i/>
        </w:rPr>
        <w:t>OECD Regional Development Working Papers.</w:t>
      </w:r>
      <w:r w:rsidRPr="0049002D">
        <w:rPr>
          <w:i/>
          <w:spacing w:val="-6"/>
        </w:rPr>
        <w:t xml:space="preserve"> </w:t>
      </w:r>
      <w:r w:rsidRPr="0049002D">
        <w:t>2012/09.</w:t>
      </w:r>
    </w:p>
    <w:p w:rsidR="006D181B" w:rsidRPr="0049002D" w:rsidRDefault="00CA4D04" w:rsidP="00CA4D04">
      <w:pPr>
        <w:pStyle w:val="ListParagraph"/>
        <w:numPr>
          <w:ilvl w:val="0"/>
          <w:numId w:val="1"/>
        </w:numPr>
        <w:tabs>
          <w:tab w:val="left" w:pos="1550"/>
        </w:tabs>
        <w:ind w:left="567" w:right="48" w:hanging="283"/>
        <w:jc w:val="both"/>
      </w:pPr>
      <w:r w:rsidRPr="0049002D">
        <w:t>Nwanosike, F. O. (2014) “</w:t>
      </w:r>
      <w:r w:rsidRPr="0049002D">
        <w:rPr>
          <w:i/>
        </w:rPr>
        <w:t xml:space="preserve">Evaluation of Nigerian Ports Post-concession Performance”. </w:t>
      </w:r>
      <w:r w:rsidRPr="0049002D">
        <w:t>PhD Thesis. University of</w:t>
      </w:r>
      <w:r w:rsidRPr="0049002D">
        <w:rPr>
          <w:spacing w:val="-1"/>
        </w:rPr>
        <w:t xml:space="preserve"> </w:t>
      </w:r>
      <w:r w:rsidRPr="0049002D">
        <w:t>Huddersfield.</w:t>
      </w:r>
    </w:p>
    <w:p w:rsidR="006D181B" w:rsidRPr="0049002D" w:rsidRDefault="00CA4D04" w:rsidP="00CA4D04">
      <w:pPr>
        <w:pStyle w:val="ListParagraph"/>
        <w:numPr>
          <w:ilvl w:val="0"/>
          <w:numId w:val="1"/>
        </w:numPr>
        <w:tabs>
          <w:tab w:val="left" w:pos="1550"/>
        </w:tabs>
        <w:ind w:left="567" w:right="48" w:hanging="283"/>
        <w:jc w:val="both"/>
      </w:pPr>
      <w:r w:rsidRPr="0049002D">
        <w:t>Network, M. (2018). 10 World’s Biggest Container Ships in 2017. [online] Marine Insight. Available at:</w:t>
      </w:r>
      <w:r w:rsidRPr="0049002D">
        <w:rPr>
          <w:u w:val="single"/>
        </w:rPr>
        <w:t xml:space="preserve"> </w:t>
      </w:r>
      <w:hyperlink r:id="rId19">
        <w:r w:rsidRPr="0049002D">
          <w:rPr>
            <w:u w:val="single"/>
          </w:rPr>
          <w:t>https://www.marineinsight.com/know-more/10-worlds-biggest-container-ships-2017/</w:t>
        </w:r>
        <w:r w:rsidRPr="0049002D">
          <w:t>.</w:t>
        </w:r>
      </w:hyperlink>
    </w:p>
    <w:p w:rsidR="006D181B" w:rsidRPr="0049002D" w:rsidRDefault="00CA4D04" w:rsidP="00CA4D04">
      <w:pPr>
        <w:pStyle w:val="ListParagraph"/>
        <w:numPr>
          <w:ilvl w:val="0"/>
          <w:numId w:val="1"/>
        </w:numPr>
        <w:tabs>
          <w:tab w:val="left" w:pos="1550"/>
        </w:tabs>
        <w:ind w:left="567" w:right="48" w:hanging="283"/>
        <w:jc w:val="both"/>
      </w:pPr>
      <w:r w:rsidRPr="0049002D">
        <w:t xml:space="preserve">Poitras, G., Tongzon, J. and Li, H. (1999) Measuring Port Efficiency: An Application of Data Envelopment Analysis. </w:t>
      </w:r>
      <w:r w:rsidRPr="0049002D">
        <w:rPr>
          <w:i/>
        </w:rPr>
        <w:t xml:space="preserve">Department of Economics and Statistics, </w:t>
      </w:r>
      <w:r w:rsidRPr="0049002D">
        <w:t>National University of</w:t>
      </w:r>
      <w:r w:rsidRPr="0049002D">
        <w:rPr>
          <w:spacing w:val="-27"/>
        </w:rPr>
        <w:t xml:space="preserve"> </w:t>
      </w:r>
      <w:r w:rsidRPr="0049002D">
        <w:t>Singapore.</w:t>
      </w:r>
    </w:p>
    <w:p w:rsidR="006D181B" w:rsidRPr="0049002D" w:rsidRDefault="00CA4D04" w:rsidP="00CA4D04">
      <w:pPr>
        <w:pStyle w:val="ListParagraph"/>
        <w:numPr>
          <w:ilvl w:val="0"/>
          <w:numId w:val="1"/>
        </w:numPr>
        <w:tabs>
          <w:tab w:val="left" w:pos="1550"/>
        </w:tabs>
        <w:ind w:left="567" w:right="48" w:hanging="283"/>
        <w:jc w:val="both"/>
      </w:pPr>
      <w:r w:rsidRPr="0049002D">
        <w:t>Saaty, T. L. and Kearns, K. (1985) “</w:t>
      </w:r>
      <w:r w:rsidRPr="0049002D">
        <w:rPr>
          <w:i/>
        </w:rPr>
        <w:t xml:space="preserve">Analytical Planning; The Organization of Systems”, </w:t>
      </w:r>
      <w:r w:rsidRPr="0049002D">
        <w:t>Oxford: Pergamon</w:t>
      </w:r>
      <w:r w:rsidRPr="0049002D">
        <w:rPr>
          <w:spacing w:val="-2"/>
        </w:rPr>
        <w:t xml:space="preserve"> </w:t>
      </w:r>
      <w:r w:rsidRPr="0049002D">
        <w:t>Press.</w:t>
      </w:r>
    </w:p>
    <w:p w:rsidR="006D181B" w:rsidRPr="0049002D" w:rsidRDefault="00CA4D04" w:rsidP="00CA4D04">
      <w:pPr>
        <w:pStyle w:val="ListParagraph"/>
        <w:numPr>
          <w:ilvl w:val="0"/>
          <w:numId w:val="1"/>
        </w:numPr>
        <w:tabs>
          <w:tab w:val="left" w:pos="1550"/>
        </w:tabs>
        <w:ind w:left="567" w:right="48" w:hanging="283"/>
        <w:jc w:val="both"/>
      </w:pPr>
      <w:r w:rsidRPr="0049002D">
        <w:t xml:space="preserve">Sarriera, J. M., Araya, G., Serebrisky, T., Briceñogarmendía, C. and Schwartz, J. (2013) “Benchmarking Container Port Technical Efficiency in Latin America and the Caribbean”, </w:t>
      </w:r>
      <w:r w:rsidRPr="0049002D">
        <w:rPr>
          <w:i/>
        </w:rPr>
        <w:t xml:space="preserve">The World Bank Latin America and the Caribbean Region Sustainable Development Department. </w:t>
      </w:r>
      <w:r w:rsidRPr="0049002D">
        <w:t>Policy Research Working Paper</w:t>
      </w:r>
      <w:r w:rsidRPr="0049002D">
        <w:rPr>
          <w:spacing w:val="-2"/>
        </w:rPr>
        <w:t xml:space="preserve"> </w:t>
      </w:r>
      <w:r w:rsidRPr="0049002D">
        <w:t>6680.</w:t>
      </w:r>
    </w:p>
    <w:p w:rsidR="004046B0" w:rsidRPr="0049002D" w:rsidRDefault="00CA4D04" w:rsidP="004046B0">
      <w:pPr>
        <w:pStyle w:val="ListParagraph"/>
        <w:numPr>
          <w:ilvl w:val="0"/>
          <w:numId w:val="1"/>
        </w:numPr>
        <w:tabs>
          <w:tab w:val="left" w:pos="1550"/>
        </w:tabs>
        <w:ind w:left="567" w:right="48" w:hanging="283"/>
        <w:jc w:val="both"/>
      </w:pPr>
      <w:r w:rsidRPr="0049002D">
        <w:t xml:space="preserve">Serebrisky, T., Sarriera, J. M., Suárez-Alemán, A., Araya, G., Briceño-Garmendía, C. and Schwartz, J. (2016) “Exploring the drivers of port efficiency in Latin America and the Caribbean”. </w:t>
      </w:r>
      <w:r w:rsidRPr="0049002D">
        <w:rPr>
          <w:i/>
        </w:rPr>
        <w:t xml:space="preserve">Transport </w:t>
      </w:r>
      <w:r w:rsidRPr="0049002D">
        <w:t>Policy. 45. pp.</w:t>
      </w:r>
      <w:r w:rsidRPr="0049002D">
        <w:rPr>
          <w:spacing w:val="-2"/>
        </w:rPr>
        <w:t xml:space="preserve"> </w:t>
      </w:r>
      <w:r w:rsidRPr="0049002D">
        <w:t>31-45.</w:t>
      </w:r>
    </w:p>
    <w:p w:rsidR="004046B0" w:rsidRPr="0049002D" w:rsidRDefault="00CA4D04" w:rsidP="004046B0">
      <w:pPr>
        <w:pStyle w:val="ListParagraph"/>
        <w:numPr>
          <w:ilvl w:val="0"/>
          <w:numId w:val="1"/>
        </w:numPr>
        <w:tabs>
          <w:tab w:val="left" w:pos="1550"/>
        </w:tabs>
        <w:ind w:left="567" w:right="48" w:hanging="283"/>
        <w:jc w:val="both"/>
      </w:pPr>
      <w:r w:rsidRPr="0049002D">
        <w:t xml:space="preserve">Sumi, R. S., and Kabir, G. (2010) “Analytical Hierarchy Process for Higher Effectiveness of Buyer Decision Process”. </w:t>
      </w:r>
      <w:r w:rsidRPr="0049002D">
        <w:rPr>
          <w:i/>
        </w:rPr>
        <w:t xml:space="preserve">Global Journal of Management and Business Research, </w:t>
      </w:r>
      <w:r w:rsidRPr="0049002D">
        <w:t>10 (2). pp.</w:t>
      </w:r>
      <w:r w:rsidRPr="0049002D">
        <w:rPr>
          <w:spacing w:val="-13"/>
        </w:rPr>
        <w:t xml:space="preserve"> </w:t>
      </w:r>
      <w:r w:rsidRPr="0049002D">
        <w:t>1-9.</w:t>
      </w:r>
    </w:p>
    <w:p w:rsidR="004046B0" w:rsidRPr="0049002D" w:rsidRDefault="00CA4D04" w:rsidP="004046B0">
      <w:pPr>
        <w:pStyle w:val="ListParagraph"/>
        <w:numPr>
          <w:ilvl w:val="0"/>
          <w:numId w:val="1"/>
        </w:numPr>
        <w:tabs>
          <w:tab w:val="left" w:pos="1550"/>
        </w:tabs>
        <w:ind w:left="567" w:right="48" w:hanging="283"/>
        <w:jc w:val="both"/>
      </w:pPr>
      <w:r w:rsidRPr="0049002D">
        <w:t xml:space="preserve">Triantaphyllou, E. and Mann, S. H. (1995) “Using The Analytic Hierarchy Process for Decision Making in Engineering Applications: Some Challenges”. </w:t>
      </w:r>
      <w:r w:rsidRPr="0049002D">
        <w:rPr>
          <w:i/>
        </w:rPr>
        <w:t>Inter’l Journal of Industrial Engineering: Applications and Practice</w:t>
      </w:r>
      <w:r w:rsidRPr="0049002D">
        <w:t>,2 (1). pp.</w:t>
      </w:r>
      <w:r w:rsidRPr="0049002D">
        <w:rPr>
          <w:spacing w:val="46"/>
        </w:rPr>
        <w:t xml:space="preserve"> </w:t>
      </w:r>
      <w:r w:rsidRPr="0049002D">
        <w:t>35-44.</w:t>
      </w:r>
    </w:p>
    <w:p w:rsidR="004046B0" w:rsidRPr="0049002D" w:rsidRDefault="00CA4D04" w:rsidP="004046B0">
      <w:pPr>
        <w:pStyle w:val="ListParagraph"/>
        <w:numPr>
          <w:ilvl w:val="0"/>
          <w:numId w:val="1"/>
        </w:numPr>
        <w:tabs>
          <w:tab w:val="left" w:pos="1550"/>
        </w:tabs>
        <w:ind w:left="567" w:right="48" w:hanging="283"/>
        <w:jc w:val="both"/>
      </w:pPr>
      <w:r w:rsidRPr="0049002D">
        <w:lastRenderedPageBreak/>
        <w:t>UNCTAD (2017) Review of Maritime Transport. United Nations. New</w:t>
      </w:r>
      <w:r w:rsidRPr="0049002D">
        <w:rPr>
          <w:spacing w:val="-6"/>
        </w:rPr>
        <w:t xml:space="preserve"> </w:t>
      </w:r>
      <w:r w:rsidRPr="0049002D">
        <w:t>York.</w:t>
      </w:r>
    </w:p>
    <w:p w:rsidR="004046B0" w:rsidRPr="0049002D" w:rsidRDefault="00CA4D04" w:rsidP="004046B0">
      <w:pPr>
        <w:pStyle w:val="ListParagraph"/>
        <w:numPr>
          <w:ilvl w:val="0"/>
          <w:numId w:val="1"/>
        </w:numPr>
        <w:tabs>
          <w:tab w:val="left" w:pos="1550"/>
        </w:tabs>
        <w:ind w:left="567" w:right="48" w:hanging="283"/>
        <w:jc w:val="both"/>
      </w:pPr>
      <w:r w:rsidRPr="0049002D">
        <w:t xml:space="preserve">Wanke, P. F., Barbastefano, R. G. and Hijjar, M. F. (2011) “Determinants of efficiency at major Brazilian port terminals”, </w:t>
      </w:r>
      <w:r w:rsidRPr="0049002D">
        <w:rPr>
          <w:i/>
        </w:rPr>
        <w:t xml:space="preserve">Transport Reviews. </w:t>
      </w:r>
      <w:r w:rsidRPr="0049002D">
        <w:t>31 (5), pp.</w:t>
      </w:r>
      <w:r w:rsidRPr="0049002D">
        <w:rPr>
          <w:spacing w:val="-1"/>
        </w:rPr>
        <w:t xml:space="preserve"> </w:t>
      </w:r>
      <w:r w:rsidRPr="0049002D">
        <w:t>653-677.</w:t>
      </w:r>
    </w:p>
    <w:p w:rsidR="004046B0" w:rsidRPr="0049002D" w:rsidRDefault="00CA4D04" w:rsidP="004046B0">
      <w:pPr>
        <w:pStyle w:val="ListParagraph"/>
        <w:numPr>
          <w:ilvl w:val="0"/>
          <w:numId w:val="1"/>
        </w:numPr>
        <w:tabs>
          <w:tab w:val="left" w:pos="1550"/>
        </w:tabs>
        <w:ind w:left="567" w:right="48" w:hanging="283"/>
        <w:jc w:val="both"/>
      </w:pPr>
      <w:r w:rsidRPr="0049002D">
        <w:t xml:space="preserve">Wang, T. F., Song, D. W. and Cullinane, K. (2003) “Container Port Production Efficiency: A Comparative Study of DEA and FDH Approaches”. </w:t>
      </w:r>
      <w:r w:rsidRPr="0049002D">
        <w:rPr>
          <w:i/>
        </w:rPr>
        <w:t xml:space="preserve">Journal of the Eastern Asia Society for Transportation Studies. </w:t>
      </w:r>
      <w:r w:rsidRPr="0049002D">
        <w:t>5. pp.</w:t>
      </w:r>
      <w:r w:rsidRPr="0049002D">
        <w:rPr>
          <w:spacing w:val="-2"/>
        </w:rPr>
        <w:t xml:space="preserve"> </w:t>
      </w:r>
      <w:r w:rsidRPr="0049002D">
        <w:t>698-713.</w:t>
      </w:r>
    </w:p>
    <w:p w:rsidR="004046B0" w:rsidRPr="0049002D" w:rsidRDefault="00CA4D04" w:rsidP="004046B0">
      <w:pPr>
        <w:pStyle w:val="ListParagraph"/>
        <w:numPr>
          <w:ilvl w:val="0"/>
          <w:numId w:val="1"/>
        </w:numPr>
        <w:tabs>
          <w:tab w:val="left" w:pos="1550"/>
        </w:tabs>
        <w:ind w:left="567" w:right="48" w:hanging="283"/>
        <w:jc w:val="both"/>
      </w:pPr>
      <w:r w:rsidRPr="0049002D">
        <w:t>Wang, T. F., Cullinane, K. and Song, D. W. (2005) “</w:t>
      </w:r>
      <w:hyperlink r:id="rId20">
        <w:r w:rsidRPr="0049002D">
          <w:rPr>
            <w:i/>
          </w:rPr>
          <w:t>Container Port Production and Economic</w:t>
        </w:r>
      </w:hyperlink>
      <w:r w:rsidRPr="0049002D">
        <w:rPr>
          <w:i/>
        </w:rPr>
        <w:t xml:space="preserve"> </w:t>
      </w:r>
      <w:hyperlink r:id="rId21">
        <w:r w:rsidRPr="0049002D">
          <w:rPr>
            <w:i/>
          </w:rPr>
          <w:t xml:space="preserve"> Efficiency</w:t>
        </w:r>
      </w:hyperlink>
      <w:r w:rsidRPr="0049002D">
        <w:rPr>
          <w:i/>
        </w:rPr>
        <w:t xml:space="preserve">”. </w:t>
      </w:r>
      <w:r w:rsidRPr="0049002D">
        <w:t>Palgrave Macmillan, Basingstoke, Hampshire; New York. DOI.</w:t>
      </w:r>
      <w:r w:rsidRPr="0049002D">
        <w:rPr>
          <w:spacing w:val="-21"/>
        </w:rPr>
        <w:t xml:space="preserve"> </w:t>
      </w:r>
      <w:hyperlink r:id="rId22">
        <w:r w:rsidRPr="0049002D">
          <w:t>10.1057/9780230505971.</w:t>
        </w:r>
      </w:hyperlink>
    </w:p>
    <w:p w:rsidR="006D181B" w:rsidRPr="0049002D" w:rsidRDefault="00CA4D04" w:rsidP="004046B0">
      <w:pPr>
        <w:pStyle w:val="ListParagraph"/>
        <w:numPr>
          <w:ilvl w:val="0"/>
          <w:numId w:val="1"/>
        </w:numPr>
        <w:tabs>
          <w:tab w:val="left" w:pos="1550"/>
        </w:tabs>
        <w:ind w:left="567" w:right="48" w:hanging="283"/>
        <w:jc w:val="both"/>
      </w:pPr>
      <w:r w:rsidRPr="0049002D">
        <w:t>Worldshipping.org. (2018</w:t>
      </w:r>
      <w:r w:rsidRPr="0049002D">
        <w:rPr>
          <w:i/>
        </w:rPr>
        <w:t xml:space="preserve">). Top 50 World Container Ports | World Shipping Council. </w:t>
      </w:r>
      <w:r w:rsidRPr="0049002D">
        <w:t>[online] Available at:</w:t>
      </w:r>
      <w:r w:rsidRPr="0049002D">
        <w:rPr>
          <w:spacing w:val="-6"/>
        </w:rPr>
        <w:t xml:space="preserve"> </w:t>
      </w:r>
      <w:hyperlink r:id="rId23">
        <w:r w:rsidRPr="0049002D">
          <w:t>http://www.worldshipping.org/about-the-industry/global-trade/top-50-world-container-ports.</w:t>
        </w:r>
      </w:hyperlink>
      <w:bookmarkStart w:id="0" w:name="_GoBack"/>
      <w:bookmarkEnd w:id="0"/>
    </w:p>
    <w:sectPr w:rsidR="006D181B" w:rsidRPr="0049002D" w:rsidSect="009A7C0F">
      <w:footerReference w:type="default" r:id="rId24"/>
      <w:pgSz w:w="12240" w:h="15840"/>
      <w:pgMar w:top="1418" w:right="1418" w:bottom="1418" w:left="1418" w:header="0" w:footer="10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04" w:rsidRDefault="00CA4D04">
      <w:r>
        <w:separator/>
      </w:r>
    </w:p>
  </w:endnote>
  <w:endnote w:type="continuationSeparator" w:id="0">
    <w:p w:rsidR="00CA4D04" w:rsidRDefault="00CA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04" w:rsidRDefault="00CA4D04">
    <w:pPr>
      <w:pStyle w:val="BodyText"/>
      <w:spacing w:line="14" w:lineRule="auto"/>
      <w:rPr>
        <w:sz w:val="20"/>
      </w:rPr>
    </w:pPr>
    <w:r>
      <w:rPr>
        <w:noProof/>
        <w:lang w:val="en-GB" w:eastAsia="ko-KR" w:bidi="ar-SA"/>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9243060</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D04" w:rsidRDefault="00CA4D04">
                          <w:pPr>
                            <w:spacing w:before="10"/>
                            <w:ind w:left="40"/>
                            <w:rPr>
                              <w:rFonts w:ascii="Times New Roman"/>
                              <w:sz w:val="24"/>
                            </w:rPr>
                          </w:pPr>
                          <w:r>
                            <w:fldChar w:fldCharType="begin"/>
                          </w:r>
                          <w:r>
                            <w:rPr>
                              <w:rFonts w:ascii="Times New Roman"/>
                              <w:sz w:val="24"/>
                            </w:rPr>
                            <w:instrText xml:space="preserve"> PAGE </w:instrText>
                          </w:r>
                          <w:r>
                            <w:fldChar w:fldCharType="separate"/>
                          </w:r>
                          <w:r w:rsidR="0049002D">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27.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" filled="f" stroked="f">
              <v:textbox inset="0,0,0,0">
                <w:txbxContent>
                  <w:p w:rsidR="00CA4D04" w:rsidRDefault="00CA4D04">
                    <w:pPr>
                      <w:spacing w:before="10"/>
                      <w:ind w:left="40"/>
                      <w:rPr>
                        <w:rFonts w:ascii="Times New Roman"/>
                        <w:sz w:val="24"/>
                      </w:rPr>
                    </w:pPr>
                    <w:r>
                      <w:fldChar w:fldCharType="begin"/>
                    </w:r>
                    <w:r>
                      <w:rPr>
                        <w:rFonts w:ascii="Times New Roman"/>
                        <w:sz w:val="24"/>
                      </w:rPr>
                      <w:instrText xml:space="preserve"> PAGE </w:instrText>
                    </w:r>
                    <w:r>
                      <w:fldChar w:fldCharType="separate"/>
                    </w:r>
                    <w:r w:rsidR="0049002D">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04" w:rsidRDefault="00CA4D04">
      <w:r>
        <w:separator/>
      </w:r>
    </w:p>
  </w:footnote>
  <w:footnote w:type="continuationSeparator" w:id="0">
    <w:p w:rsidR="00CA4D04" w:rsidRDefault="00CA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027"/>
    <w:multiLevelType w:val="hybridMultilevel"/>
    <w:tmpl w:val="4BDE0040"/>
    <w:lvl w:ilvl="0" w:tplc="D97E5CB8">
      <w:start w:val="1"/>
      <w:numFmt w:val="decimal"/>
      <w:lvlText w:val="(%1)"/>
      <w:lvlJc w:val="left"/>
      <w:pPr>
        <w:ind w:left="1730" w:hanging="333"/>
        <w:jc w:val="left"/>
      </w:pPr>
      <w:rPr>
        <w:rFonts w:ascii="Calibri" w:eastAsia="Calibri" w:hAnsi="Calibri" w:cs="Calibri" w:hint="default"/>
        <w:spacing w:val="-1"/>
        <w:w w:val="99"/>
        <w:sz w:val="22"/>
        <w:szCs w:val="22"/>
        <w:lang w:val="ar-EG" w:eastAsia="ar-EG" w:bidi="ar-EG"/>
      </w:rPr>
    </w:lvl>
    <w:lvl w:ilvl="1" w:tplc="83968510">
      <w:numFmt w:val="bullet"/>
      <w:lvlText w:val="•"/>
      <w:lvlJc w:val="left"/>
      <w:pPr>
        <w:ind w:left="2758" w:hanging="333"/>
      </w:pPr>
      <w:rPr>
        <w:rFonts w:hint="default"/>
        <w:lang w:val="ar-EG" w:eastAsia="ar-EG" w:bidi="ar-EG"/>
      </w:rPr>
    </w:lvl>
    <w:lvl w:ilvl="2" w:tplc="422876AC">
      <w:numFmt w:val="bullet"/>
      <w:lvlText w:val="•"/>
      <w:lvlJc w:val="left"/>
      <w:pPr>
        <w:ind w:left="3776" w:hanging="333"/>
      </w:pPr>
      <w:rPr>
        <w:rFonts w:hint="default"/>
        <w:lang w:val="ar-EG" w:eastAsia="ar-EG" w:bidi="ar-EG"/>
      </w:rPr>
    </w:lvl>
    <w:lvl w:ilvl="3" w:tplc="336039E2">
      <w:numFmt w:val="bullet"/>
      <w:lvlText w:val="•"/>
      <w:lvlJc w:val="left"/>
      <w:pPr>
        <w:ind w:left="4794" w:hanging="333"/>
      </w:pPr>
      <w:rPr>
        <w:rFonts w:hint="default"/>
        <w:lang w:val="ar-EG" w:eastAsia="ar-EG" w:bidi="ar-EG"/>
      </w:rPr>
    </w:lvl>
    <w:lvl w:ilvl="4" w:tplc="E3888132">
      <w:numFmt w:val="bullet"/>
      <w:lvlText w:val="•"/>
      <w:lvlJc w:val="left"/>
      <w:pPr>
        <w:ind w:left="5812" w:hanging="333"/>
      </w:pPr>
      <w:rPr>
        <w:rFonts w:hint="default"/>
        <w:lang w:val="ar-EG" w:eastAsia="ar-EG" w:bidi="ar-EG"/>
      </w:rPr>
    </w:lvl>
    <w:lvl w:ilvl="5" w:tplc="FEDCCD26">
      <w:numFmt w:val="bullet"/>
      <w:lvlText w:val="•"/>
      <w:lvlJc w:val="left"/>
      <w:pPr>
        <w:ind w:left="6830" w:hanging="333"/>
      </w:pPr>
      <w:rPr>
        <w:rFonts w:hint="default"/>
        <w:lang w:val="ar-EG" w:eastAsia="ar-EG" w:bidi="ar-EG"/>
      </w:rPr>
    </w:lvl>
    <w:lvl w:ilvl="6" w:tplc="A1C6B54E">
      <w:numFmt w:val="bullet"/>
      <w:lvlText w:val="•"/>
      <w:lvlJc w:val="left"/>
      <w:pPr>
        <w:ind w:left="7848" w:hanging="333"/>
      </w:pPr>
      <w:rPr>
        <w:rFonts w:hint="default"/>
        <w:lang w:val="ar-EG" w:eastAsia="ar-EG" w:bidi="ar-EG"/>
      </w:rPr>
    </w:lvl>
    <w:lvl w:ilvl="7" w:tplc="DFA8F0BE">
      <w:numFmt w:val="bullet"/>
      <w:lvlText w:val="•"/>
      <w:lvlJc w:val="left"/>
      <w:pPr>
        <w:ind w:left="8866" w:hanging="333"/>
      </w:pPr>
      <w:rPr>
        <w:rFonts w:hint="default"/>
        <w:lang w:val="ar-EG" w:eastAsia="ar-EG" w:bidi="ar-EG"/>
      </w:rPr>
    </w:lvl>
    <w:lvl w:ilvl="8" w:tplc="2A7E8E4E">
      <w:numFmt w:val="bullet"/>
      <w:lvlText w:val="•"/>
      <w:lvlJc w:val="left"/>
      <w:pPr>
        <w:ind w:left="9884" w:hanging="333"/>
      </w:pPr>
      <w:rPr>
        <w:rFonts w:hint="default"/>
        <w:lang w:val="ar-EG" w:eastAsia="ar-EG" w:bidi="ar-EG"/>
      </w:rPr>
    </w:lvl>
  </w:abstractNum>
  <w:abstractNum w:abstractNumId="1" w15:restartNumberingAfterBreak="0">
    <w:nsid w:val="171B1D57"/>
    <w:multiLevelType w:val="hybridMultilevel"/>
    <w:tmpl w:val="9716D166"/>
    <w:lvl w:ilvl="0" w:tplc="C4DCB66A">
      <w:numFmt w:val="bullet"/>
      <w:lvlText w:val=""/>
      <w:lvlJc w:val="left"/>
      <w:pPr>
        <w:ind w:left="1550" w:hanging="270"/>
      </w:pPr>
      <w:rPr>
        <w:rFonts w:ascii="Symbol" w:eastAsia="Symbol" w:hAnsi="Symbol" w:cs="Symbol" w:hint="default"/>
        <w:w w:val="99"/>
        <w:sz w:val="22"/>
        <w:szCs w:val="22"/>
        <w:lang w:val="ar-EG" w:eastAsia="ar-EG" w:bidi="ar-EG"/>
      </w:rPr>
    </w:lvl>
    <w:lvl w:ilvl="1" w:tplc="978A2740">
      <w:numFmt w:val="bullet"/>
      <w:lvlText w:val="•"/>
      <w:lvlJc w:val="left"/>
      <w:pPr>
        <w:ind w:left="1700" w:hanging="270"/>
      </w:pPr>
      <w:rPr>
        <w:rFonts w:hint="default"/>
        <w:lang w:val="ar-EG" w:eastAsia="ar-EG" w:bidi="ar-EG"/>
      </w:rPr>
    </w:lvl>
    <w:lvl w:ilvl="2" w:tplc="4CAA80C0">
      <w:numFmt w:val="bullet"/>
      <w:lvlText w:val="•"/>
      <w:lvlJc w:val="left"/>
      <w:pPr>
        <w:ind w:left="2835" w:hanging="270"/>
      </w:pPr>
      <w:rPr>
        <w:rFonts w:hint="default"/>
        <w:lang w:val="ar-EG" w:eastAsia="ar-EG" w:bidi="ar-EG"/>
      </w:rPr>
    </w:lvl>
    <w:lvl w:ilvl="3" w:tplc="ED80FF78">
      <w:numFmt w:val="bullet"/>
      <w:lvlText w:val="•"/>
      <w:lvlJc w:val="left"/>
      <w:pPr>
        <w:ind w:left="3971" w:hanging="270"/>
      </w:pPr>
      <w:rPr>
        <w:rFonts w:hint="default"/>
        <w:lang w:val="ar-EG" w:eastAsia="ar-EG" w:bidi="ar-EG"/>
      </w:rPr>
    </w:lvl>
    <w:lvl w:ilvl="4" w:tplc="3F249ACE">
      <w:numFmt w:val="bullet"/>
      <w:lvlText w:val="•"/>
      <w:lvlJc w:val="left"/>
      <w:pPr>
        <w:ind w:left="5106" w:hanging="270"/>
      </w:pPr>
      <w:rPr>
        <w:rFonts w:hint="default"/>
        <w:lang w:val="ar-EG" w:eastAsia="ar-EG" w:bidi="ar-EG"/>
      </w:rPr>
    </w:lvl>
    <w:lvl w:ilvl="5" w:tplc="4300EA4A">
      <w:numFmt w:val="bullet"/>
      <w:lvlText w:val="•"/>
      <w:lvlJc w:val="left"/>
      <w:pPr>
        <w:ind w:left="6242" w:hanging="270"/>
      </w:pPr>
      <w:rPr>
        <w:rFonts w:hint="default"/>
        <w:lang w:val="ar-EG" w:eastAsia="ar-EG" w:bidi="ar-EG"/>
      </w:rPr>
    </w:lvl>
    <w:lvl w:ilvl="6" w:tplc="D096C8C6">
      <w:numFmt w:val="bullet"/>
      <w:lvlText w:val="•"/>
      <w:lvlJc w:val="left"/>
      <w:pPr>
        <w:ind w:left="7377" w:hanging="270"/>
      </w:pPr>
      <w:rPr>
        <w:rFonts w:hint="default"/>
        <w:lang w:val="ar-EG" w:eastAsia="ar-EG" w:bidi="ar-EG"/>
      </w:rPr>
    </w:lvl>
    <w:lvl w:ilvl="7" w:tplc="F482E68E">
      <w:numFmt w:val="bullet"/>
      <w:lvlText w:val="•"/>
      <w:lvlJc w:val="left"/>
      <w:pPr>
        <w:ind w:left="8513" w:hanging="270"/>
      </w:pPr>
      <w:rPr>
        <w:rFonts w:hint="default"/>
        <w:lang w:val="ar-EG" w:eastAsia="ar-EG" w:bidi="ar-EG"/>
      </w:rPr>
    </w:lvl>
    <w:lvl w:ilvl="8" w:tplc="9BF6B622">
      <w:numFmt w:val="bullet"/>
      <w:lvlText w:val="•"/>
      <w:lvlJc w:val="left"/>
      <w:pPr>
        <w:ind w:left="9648" w:hanging="270"/>
      </w:pPr>
      <w:rPr>
        <w:rFonts w:hint="default"/>
        <w:lang w:val="ar-EG" w:eastAsia="ar-EG" w:bidi="ar-EG"/>
      </w:rPr>
    </w:lvl>
  </w:abstractNum>
  <w:abstractNum w:abstractNumId="2" w15:restartNumberingAfterBreak="0">
    <w:nsid w:val="60904FED"/>
    <w:multiLevelType w:val="hybridMultilevel"/>
    <w:tmpl w:val="80B05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BD5907"/>
    <w:multiLevelType w:val="hybridMultilevel"/>
    <w:tmpl w:val="50483018"/>
    <w:lvl w:ilvl="0" w:tplc="8B9AF582">
      <w:start w:val="1"/>
      <w:numFmt w:val="decimal"/>
      <w:lvlText w:val="%1."/>
      <w:lvlJc w:val="left"/>
      <w:pPr>
        <w:ind w:left="1499" w:hanging="220"/>
        <w:jc w:val="left"/>
      </w:pPr>
      <w:rPr>
        <w:rFonts w:hint="default"/>
        <w:w w:val="99"/>
        <w:u w:val="single" w:color="000000"/>
        <w:lang w:val="ar-EG" w:eastAsia="ar-EG" w:bidi="ar-EG"/>
      </w:rPr>
    </w:lvl>
    <w:lvl w:ilvl="1" w:tplc="3AEE2E10">
      <w:numFmt w:val="bullet"/>
      <w:lvlText w:val="•"/>
      <w:lvlJc w:val="left"/>
      <w:pPr>
        <w:ind w:left="2542" w:hanging="220"/>
      </w:pPr>
      <w:rPr>
        <w:rFonts w:hint="default"/>
        <w:lang w:val="ar-EG" w:eastAsia="ar-EG" w:bidi="ar-EG"/>
      </w:rPr>
    </w:lvl>
    <w:lvl w:ilvl="2" w:tplc="64D47602">
      <w:numFmt w:val="bullet"/>
      <w:lvlText w:val="•"/>
      <w:lvlJc w:val="left"/>
      <w:pPr>
        <w:ind w:left="3584" w:hanging="220"/>
      </w:pPr>
      <w:rPr>
        <w:rFonts w:hint="default"/>
        <w:lang w:val="ar-EG" w:eastAsia="ar-EG" w:bidi="ar-EG"/>
      </w:rPr>
    </w:lvl>
    <w:lvl w:ilvl="3" w:tplc="BF0CEAD6">
      <w:numFmt w:val="bullet"/>
      <w:lvlText w:val="•"/>
      <w:lvlJc w:val="left"/>
      <w:pPr>
        <w:ind w:left="4626" w:hanging="220"/>
      </w:pPr>
      <w:rPr>
        <w:rFonts w:hint="default"/>
        <w:lang w:val="ar-EG" w:eastAsia="ar-EG" w:bidi="ar-EG"/>
      </w:rPr>
    </w:lvl>
    <w:lvl w:ilvl="4" w:tplc="95542510">
      <w:numFmt w:val="bullet"/>
      <w:lvlText w:val="•"/>
      <w:lvlJc w:val="left"/>
      <w:pPr>
        <w:ind w:left="5668" w:hanging="220"/>
      </w:pPr>
      <w:rPr>
        <w:rFonts w:hint="default"/>
        <w:lang w:val="ar-EG" w:eastAsia="ar-EG" w:bidi="ar-EG"/>
      </w:rPr>
    </w:lvl>
    <w:lvl w:ilvl="5" w:tplc="2D78D6C4">
      <w:numFmt w:val="bullet"/>
      <w:lvlText w:val="•"/>
      <w:lvlJc w:val="left"/>
      <w:pPr>
        <w:ind w:left="6710" w:hanging="220"/>
      </w:pPr>
      <w:rPr>
        <w:rFonts w:hint="default"/>
        <w:lang w:val="ar-EG" w:eastAsia="ar-EG" w:bidi="ar-EG"/>
      </w:rPr>
    </w:lvl>
    <w:lvl w:ilvl="6" w:tplc="DDB2B0BA">
      <w:numFmt w:val="bullet"/>
      <w:lvlText w:val="•"/>
      <w:lvlJc w:val="left"/>
      <w:pPr>
        <w:ind w:left="7752" w:hanging="220"/>
      </w:pPr>
      <w:rPr>
        <w:rFonts w:hint="default"/>
        <w:lang w:val="ar-EG" w:eastAsia="ar-EG" w:bidi="ar-EG"/>
      </w:rPr>
    </w:lvl>
    <w:lvl w:ilvl="7" w:tplc="62F004B8">
      <w:numFmt w:val="bullet"/>
      <w:lvlText w:val="•"/>
      <w:lvlJc w:val="left"/>
      <w:pPr>
        <w:ind w:left="8794" w:hanging="220"/>
      </w:pPr>
      <w:rPr>
        <w:rFonts w:hint="default"/>
        <w:lang w:val="ar-EG" w:eastAsia="ar-EG" w:bidi="ar-EG"/>
      </w:rPr>
    </w:lvl>
    <w:lvl w:ilvl="8" w:tplc="7A3A7B00">
      <w:numFmt w:val="bullet"/>
      <w:lvlText w:val="•"/>
      <w:lvlJc w:val="left"/>
      <w:pPr>
        <w:ind w:left="9836" w:hanging="220"/>
      </w:pPr>
      <w:rPr>
        <w:rFonts w:hint="default"/>
        <w:lang w:val="ar-EG" w:eastAsia="ar-EG" w:bidi="ar-EG"/>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1B"/>
    <w:rsid w:val="004046B0"/>
    <w:rsid w:val="0049002D"/>
    <w:rsid w:val="006D181B"/>
    <w:rsid w:val="0072030D"/>
    <w:rsid w:val="009A7C0F"/>
    <w:rsid w:val="00CA4D0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5E10"/>
  <w15:docId w15:val="{EDD30902-FC49-4BA4-88A3-380835B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ar-EG" w:eastAsia="ar-EG" w:bidi="ar-EG"/>
    </w:rPr>
  </w:style>
  <w:style w:type="paragraph" w:styleId="Heading1">
    <w:name w:val="heading 1"/>
    <w:basedOn w:val="Normal"/>
    <w:uiPriority w:val="1"/>
    <w:qFormat/>
    <w:pPr>
      <w:ind w:left="1280"/>
      <w:outlineLvl w:val="0"/>
    </w:pPr>
    <w:rPr>
      <w:b/>
      <w:bCs/>
      <w:sz w:val="28"/>
      <w:szCs w:val="28"/>
    </w:rPr>
  </w:style>
  <w:style w:type="paragraph" w:styleId="Heading2">
    <w:name w:val="heading 2"/>
    <w:basedOn w:val="Normal"/>
    <w:uiPriority w:val="1"/>
    <w:qFormat/>
    <w:pPr>
      <w:ind w:left="1280" w:hanging="2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0" w:hanging="270"/>
    </w:pPr>
  </w:style>
  <w:style w:type="paragraph" w:customStyle="1" w:styleId="TableParagraph">
    <w:name w:val="Table Paragraph"/>
    <w:basedOn w:val="Normal"/>
    <w:uiPriority w:val="1"/>
    <w:qFormat/>
    <w:pPr>
      <w:spacing w:line="248" w:lineRule="exact"/>
      <w:jc w:val="center"/>
    </w:pPr>
  </w:style>
  <w:style w:type="paragraph" w:customStyle="1" w:styleId="Affiliation">
    <w:name w:val="Affiliation"/>
    <w:basedOn w:val="Normal"/>
    <w:rsid w:val="009A7C0F"/>
    <w:pPr>
      <w:widowControl/>
      <w:autoSpaceDE/>
      <w:autoSpaceDN/>
    </w:pPr>
    <w:rPr>
      <w:rFonts w:ascii="Arial" w:eastAsia="Times New Roman" w:hAnsi="Arial" w:cs="Times New Roman"/>
      <w:i/>
      <w:sz w:val="20"/>
      <w:szCs w:val="24"/>
      <w:lang w:val="en-GB" w:eastAsia="en-GB" w:bidi="ar-SA"/>
    </w:rPr>
  </w:style>
  <w:style w:type="paragraph" w:customStyle="1" w:styleId="Paragraph">
    <w:name w:val="Paragraph"/>
    <w:basedOn w:val="Normal"/>
    <w:rsid w:val="009A7C0F"/>
    <w:pPr>
      <w:widowControl/>
      <w:autoSpaceDE/>
      <w:autoSpaceDN/>
      <w:jc w:val="both"/>
    </w:pPr>
    <w:rPr>
      <w:rFonts w:ascii="Arial" w:eastAsia="Times New Roman" w:hAnsi="Arial" w:cs="Times New Roman"/>
      <w:sz w:val="20"/>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ldshipping.org/" TargetMode="External"/><Relationship Id="rId13" Type="http://schemas.openxmlformats.org/officeDocument/2006/relationships/hyperlink" Target="https://www.researchgate.net/researcher/2111572852_Thanh_Thuy_Nguyen" TargetMode="External"/><Relationship Id="rId18" Type="http://schemas.openxmlformats.org/officeDocument/2006/relationships/hyperlink" Target="https://scholar.google.com.eg/citations?user=G-omchcAAAAJ&amp;amp;hl=en&amp;amp;oi=s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okmetrix.com/detail/book/a41ffbaa-dae9-4c16-84e2-f0396e281cba" TargetMode="External"/><Relationship Id="rId7" Type="http://schemas.openxmlformats.org/officeDocument/2006/relationships/hyperlink" Target="https://www.researchgate.net/profile/Nikola_Kutin" TargetMode="External"/><Relationship Id="rId12" Type="http://schemas.openxmlformats.org/officeDocument/2006/relationships/hyperlink" Target="https://www.researchgate.net/profile/Nikola_Kutin" TargetMode="External"/><Relationship Id="rId17" Type="http://schemas.openxmlformats.org/officeDocument/2006/relationships/hyperlink" Target="https://scholar.google.com.eg/citations?user=VriJlW4AAAAJ&amp;amp;hl=en&amp;amp;oi=sr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ersk.com/-/media/press/trade-reports/africa/egypt/connecting-markets---the-suez-view_large-version.ashx" TargetMode="External"/><Relationship Id="rId20" Type="http://schemas.openxmlformats.org/officeDocument/2006/relationships/hyperlink" Target="http://www.bookmetrix.com/detail/book/a41ffbaa-dae9-4c16-84e2-f0396e281c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4872325_Ports_Engines_for_Growth_and_Employ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ersk.com/-/media/press/trade-reports/africa/egypt/connecting-markets---the-suez-view_large-version.ashx" TargetMode="External"/><Relationship Id="rId23" Type="http://schemas.openxmlformats.org/officeDocument/2006/relationships/hyperlink" Target="http://www.worldshipping.org/about-the-industry/global-trade/top-50-world-container-ports" TargetMode="External"/><Relationship Id="rId10" Type="http://schemas.openxmlformats.org/officeDocument/2006/relationships/hyperlink" Target="https://www.researchgate.net/publication/294872325_Ports_Engines_for_Growth_and_Employment" TargetMode="External"/><Relationship Id="rId19" Type="http://schemas.openxmlformats.org/officeDocument/2006/relationships/hyperlink" Target="https://www.marineinsight.com/know-more/10-worlds-biggest-container-ships-2017/" TargetMode="External"/><Relationship Id="rId4" Type="http://schemas.openxmlformats.org/officeDocument/2006/relationships/webSettings" Target="webSettings.xml"/><Relationship Id="rId9" Type="http://schemas.openxmlformats.org/officeDocument/2006/relationships/hyperlink" Target="http://www.poptools.org/" TargetMode="External"/><Relationship Id="rId14" Type="http://schemas.openxmlformats.org/officeDocument/2006/relationships/hyperlink" Target="https://www.researchgate.net/researcher/2130387366_Thomas_Vallee" TargetMode="External"/><Relationship Id="rId22" Type="http://schemas.openxmlformats.org/officeDocument/2006/relationships/hyperlink" Target="https://doi.org/10.1057/9780230505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ahmedismailahmed@aast.edu</dc:creator>
  <cp:lastModifiedBy>Saeyeon Roh</cp:lastModifiedBy>
  <cp:revision>3</cp:revision>
  <dcterms:created xsi:type="dcterms:W3CDTF">2018-07-12T08:48:00Z</dcterms:created>
  <dcterms:modified xsi:type="dcterms:W3CDTF">2018-07-12T09:22:00Z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2010</vt:lpwstr>
  </property>
  <property fmtid="{D5CDD505-2E9C-101B-9397-08002B2CF9AE}" pid="4" name="LastSaved">
    <vt:filetime>2018-06-19T00:00:00Z</vt:filetime>
  </property>
</Properties>
</file>