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5987C" w14:textId="77777777" w:rsidR="00E36957" w:rsidRPr="00942AEC" w:rsidRDefault="00E36957" w:rsidP="00E36957">
      <w:pPr>
        <w:pStyle w:val="Heading1"/>
        <w:spacing w:before="0"/>
        <w:jc w:val="both"/>
        <w:rPr>
          <w:rFonts w:cstheme="majorHAnsi"/>
          <w:color w:val="auto"/>
          <w:sz w:val="28"/>
          <w:szCs w:val="28"/>
          <w:lang w:val="en-GB"/>
        </w:rPr>
      </w:pPr>
      <w:r w:rsidRPr="00942AEC">
        <w:rPr>
          <w:rFonts w:cstheme="majorHAnsi"/>
          <w:color w:val="auto"/>
          <w:sz w:val="28"/>
          <w:szCs w:val="28"/>
          <w:lang w:val="en-GB"/>
        </w:rPr>
        <w:t>MODIFICATION OF PORT SUSTAINABILITY MANAGEMENT SYSTEM (PSMS)</w:t>
      </w:r>
    </w:p>
    <w:p w14:paraId="42D79B6C" w14:textId="77777777" w:rsidR="00E36957" w:rsidRPr="00E36957" w:rsidRDefault="00E36957" w:rsidP="00E36957">
      <w:pPr>
        <w:jc w:val="both"/>
        <w:rPr>
          <w:rFonts w:asciiTheme="majorHAnsi" w:hAnsiTheme="majorHAnsi" w:cstheme="majorHAnsi"/>
          <w:b/>
          <w:i/>
          <w:sz w:val="14"/>
          <w:szCs w:val="22"/>
          <w:lang w:val="en-GB"/>
        </w:rPr>
      </w:pPr>
    </w:p>
    <w:p w14:paraId="647257EC" w14:textId="77777777" w:rsidR="00E36957" w:rsidRPr="00942AEC" w:rsidRDefault="00E36957" w:rsidP="00E36957">
      <w:pPr>
        <w:jc w:val="both"/>
        <w:rPr>
          <w:rFonts w:asciiTheme="majorHAnsi" w:hAnsiTheme="majorHAnsi" w:cstheme="majorHAnsi"/>
          <w:b/>
          <w:i/>
          <w:sz w:val="22"/>
          <w:szCs w:val="22"/>
          <w:vertAlign w:val="superscript"/>
          <w:lang w:val="en-GB"/>
        </w:rPr>
      </w:pPr>
      <w:proofErr w:type="spellStart"/>
      <w:r w:rsidRPr="00942AEC">
        <w:rPr>
          <w:rFonts w:asciiTheme="majorHAnsi" w:hAnsiTheme="majorHAnsi" w:cstheme="majorHAnsi"/>
          <w:b/>
          <w:i/>
          <w:sz w:val="22"/>
          <w:szCs w:val="22"/>
          <w:lang w:val="en-GB"/>
        </w:rPr>
        <w:t>Ridvan</w:t>
      </w:r>
      <w:proofErr w:type="spellEnd"/>
      <w:r w:rsidRPr="00942AEC">
        <w:rPr>
          <w:rFonts w:asciiTheme="majorHAnsi" w:hAnsiTheme="majorHAnsi" w:cstheme="majorHAnsi"/>
          <w:b/>
          <w:i/>
          <w:sz w:val="22"/>
          <w:szCs w:val="22"/>
          <w:lang w:val="en-GB"/>
        </w:rPr>
        <w:t xml:space="preserve"> </w:t>
      </w:r>
      <w:proofErr w:type="spellStart"/>
      <w:proofErr w:type="gramStart"/>
      <w:r w:rsidRPr="00942AEC">
        <w:rPr>
          <w:rFonts w:asciiTheme="majorHAnsi" w:hAnsiTheme="majorHAnsi" w:cstheme="majorHAnsi"/>
          <w:b/>
          <w:i/>
          <w:sz w:val="22"/>
          <w:szCs w:val="22"/>
          <w:lang w:val="en-GB"/>
        </w:rPr>
        <w:t>Karacay</w:t>
      </w:r>
      <w:proofErr w:type="spellEnd"/>
      <w:r w:rsidRPr="00942AEC">
        <w:rPr>
          <w:rFonts w:asciiTheme="majorHAnsi" w:hAnsiTheme="majorHAnsi" w:cstheme="majorHAnsi"/>
          <w:b/>
          <w:i/>
          <w:sz w:val="22"/>
          <w:szCs w:val="22"/>
          <w:vertAlign w:val="superscript"/>
          <w:lang w:val="en-GB"/>
        </w:rPr>
        <w:t xml:space="preserve"> </w:t>
      </w:r>
      <w:r>
        <w:rPr>
          <w:rFonts w:asciiTheme="majorHAnsi" w:hAnsiTheme="majorHAnsi" w:cstheme="majorHAnsi"/>
          <w:b/>
          <w:i/>
          <w:sz w:val="22"/>
          <w:szCs w:val="22"/>
          <w:lang w:val="en-GB"/>
        </w:rPr>
        <w:t>,</w:t>
      </w:r>
      <w:proofErr w:type="gramEnd"/>
      <w:r>
        <w:rPr>
          <w:rFonts w:asciiTheme="majorHAnsi" w:hAnsiTheme="majorHAnsi" w:cstheme="majorHAnsi"/>
          <w:b/>
          <w:i/>
          <w:sz w:val="22"/>
          <w:szCs w:val="22"/>
          <w:lang w:val="en-GB"/>
        </w:rPr>
        <w:t xml:space="preserve"> John </w:t>
      </w:r>
      <w:proofErr w:type="spellStart"/>
      <w:r>
        <w:rPr>
          <w:rFonts w:asciiTheme="majorHAnsi" w:hAnsiTheme="majorHAnsi" w:cstheme="majorHAnsi"/>
          <w:b/>
          <w:i/>
          <w:sz w:val="22"/>
          <w:szCs w:val="22"/>
          <w:lang w:val="en-GB"/>
        </w:rPr>
        <w:t>Dinwoodie</w:t>
      </w:r>
      <w:proofErr w:type="spellEnd"/>
      <w:r>
        <w:rPr>
          <w:rFonts w:asciiTheme="majorHAnsi" w:hAnsiTheme="majorHAnsi" w:cstheme="majorHAnsi"/>
          <w:b/>
          <w:i/>
          <w:sz w:val="22"/>
          <w:szCs w:val="22"/>
          <w:lang w:val="en-GB"/>
        </w:rPr>
        <w:t xml:space="preserve"> and Lynne </w:t>
      </w:r>
      <w:proofErr w:type="spellStart"/>
      <w:r>
        <w:rPr>
          <w:rFonts w:asciiTheme="majorHAnsi" w:hAnsiTheme="majorHAnsi" w:cstheme="majorHAnsi"/>
          <w:b/>
          <w:i/>
          <w:sz w:val="22"/>
          <w:szCs w:val="22"/>
          <w:lang w:val="en-GB"/>
        </w:rPr>
        <w:t>Butel</w:t>
      </w:r>
      <w:proofErr w:type="spellEnd"/>
    </w:p>
    <w:p w14:paraId="11A3E2D6" w14:textId="77777777" w:rsidR="00E36957" w:rsidRPr="00942AEC" w:rsidRDefault="00E36957" w:rsidP="00E36957">
      <w:pPr>
        <w:jc w:val="both"/>
        <w:rPr>
          <w:rFonts w:asciiTheme="majorHAnsi" w:hAnsiTheme="majorHAnsi" w:cstheme="majorHAnsi"/>
          <w:bCs/>
          <w:i/>
          <w:iCs/>
          <w:color w:val="000000"/>
          <w:sz w:val="22"/>
          <w:szCs w:val="22"/>
          <w:shd w:val="clear" w:color="auto" w:fill="FFFFFF"/>
        </w:rPr>
      </w:pPr>
      <w:r w:rsidRPr="00942AEC">
        <w:rPr>
          <w:rFonts w:asciiTheme="majorHAnsi" w:hAnsiTheme="majorHAnsi" w:cstheme="majorHAnsi"/>
          <w:bCs/>
          <w:i/>
          <w:iCs/>
          <w:color w:val="000000"/>
          <w:sz w:val="22"/>
          <w:szCs w:val="22"/>
          <w:shd w:val="clear" w:color="auto" w:fill="FFFFFF"/>
        </w:rPr>
        <w:t>Department of International Shipping, Logistics and Operations, Plymouth Business School</w:t>
      </w:r>
    </w:p>
    <w:p w14:paraId="6A7F48EC" w14:textId="77777777" w:rsidR="00E36957" w:rsidRPr="00E36957" w:rsidRDefault="00E36957" w:rsidP="00E36957">
      <w:pPr>
        <w:shd w:val="clear" w:color="auto" w:fill="FFFFFF"/>
        <w:spacing w:line="259" w:lineRule="auto"/>
        <w:jc w:val="both"/>
        <w:rPr>
          <w:rFonts w:asciiTheme="majorHAnsi" w:hAnsiTheme="majorHAnsi" w:cstheme="majorHAnsi"/>
          <w:b/>
          <w:sz w:val="16"/>
          <w:szCs w:val="22"/>
          <w:u w:val="single"/>
          <w:lang w:val="en-GB"/>
        </w:rPr>
      </w:pPr>
    </w:p>
    <w:p w14:paraId="6ACA14C9" w14:textId="1AE8A7EF" w:rsidR="002468E0" w:rsidRPr="0023485C" w:rsidRDefault="002468E0" w:rsidP="00E36957">
      <w:pPr>
        <w:shd w:val="clear" w:color="auto" w:fill="FFFFFF"/>
        <w:spacing w:line="259" w:lineRule="auto"/>
        <w:jc w:val="both"/>
        <w:rPr>
          <w:rFonts w:asciiTheme="majorHAnsi" w:hAnsiTheme="majorHAnsi" w:cstheme="majorHAnsi"/>
          <w:b/>
          <w:sz w:val="22"/>
          <w:szCs w:val="22"/>
          <w:u w:val="single"/>
          <w:lang w:val="en-GB"/>
        </w:rPr>
      </w:pPr>
      <w:r w:rsidRPr="0023485C">
        <w:rPr>
          <w:rFonts w:asciiTheme="majorHAnsi" w:hAnsiTheme="majorHAnsi" w:cstheme="majorHAnsi"/>
          <w:b/>
          <w:sz w:val="22"/>
          <w:szCs w:val="22"/>
          <w:u w:val="single"/>
          <w:lang w:val="en-GB"/>
        </w:rPr>
        <w:t xml:space="preserve">Introduction </w:t>
      </w:r>
    </w:p>
    <w:p w14:paraId="6670BA94" w14:textId="3D87A79D" w:rsidR="001A10C5" w:rsidRDefault="001A10C5" w:rsidP="00E36957">
      <w:pPr>
        <w:widowControl w:val="0"/>
        <w:autoSpaceDE w:val="0"/>
        <w:autoSpaceDN w:val="0"/>
        <w:adjustRightInd w:val="0"/>
        <w:spacing w:line="259" w:lineRule="auto"/>
        <w:jc w:val="both"/>
        <w:rPr>
          <w:rFonts w:asciiTheme="majorHAnsi" w:hAnsiTheme="majorHAnsi" w:cstheme="majorHAnsi"/>
          <w:sz w:val="22"/>
          <w:szCs w:val="22"/>
          <w:lang w:val="en-GB"/>
        </w:rPr>
      </w:pPr>
      <w:r w:rsidRPr="0023485C">
        <w:rPr>
          <w:rFonts w:asciiTheme="majorHAnsi" w:hAnsiTheme="majorHAnsi" w:cstheme="majorHAnsi"/>
          <w:sz w:val="22"/>
          <w:szCs w:val="22"/>
          <w:lang w:val="en-GB"/>
        </w:rPr>
        <w:t>Th</w:t>
      </w:r>
      <w:r>
        <w:rPr>
          <w:rFonts w:asciiTheme="majorHAnsi" w:hAnsiTheme="majorHAnsi" w:cstheme="majorHAnsi"/>
          <w:sz w:val="22"/>
          <w:szCs w:val="22"/>
          <w:lang w:val="en-GB"/>
        </w:rPr>
        <w:t>is</w:t>
      </w:r>
      <w:r w:rsidRPr="0023485C">
        <w:rPr>
          <w:rFonts w:asciiTheme="majorHAnsi" w:hAnsiTheme="majorHAnsi" w:cstheme="majorHAnsi"/>
          <w:sz w:val="22"/>
          <w:szCs w:val="22"/>
          <w:lang w:val="en-GB"/>
        </w:rPr>
        <w:t xml:space="preserve"> project aims to investigate the systems and processes</w:t>
      </w:r>
      <w:r>
        <w:rPr>
          <w:rFonts w:asciiTheme="majorHAnsi" w:hAnsiTheme="majorHAnsi" w:cstheme="majorHAnsi"/>
          <w:sz w:val="22"/>
          <w:szCs w:val="22"/>
          <w:lang w:val="en-GB"/>
        </w:rPr>
        <w:t xml:space="preserve"> </w:t>
      </w:r>
      <w:r w:rsidRPr="0023485C">
        <w:rPr>
          <w:rFonts w:asciiTheme="majorHAnsi" w:hAnsiTheme="majorHAnsi" w:cstheme="majorHAnsi"/>
          <w:sz w:val="22"/>
          <w:szCs w:val="22"/>
          <w:lang w:val="en-GB"/>
        </w:rPr>
        <w:t xml:space="preserve">which ports deploy to investigate and manage sustainability issues. As the largest ports industry in Europe, the UK hosts over 700 smaller and medium sized ports (Ports UK, 2014). This </w:t>
      </w:r>
      <w:r>
        <w:rPr>
          <w:rFonts w:asciiTheme="majorHAnsi" w:hAnsiTheme="majorHAnsi" w:cstheme="majorHAnsi"/>
          <w:sz w:val="22"/>
          <w:szCs w:val="22"/>
          <w:lang w:val="en-GB"/>
        </w:rPr>
        <w:t>p</w:t>
      </w:r>
      <w:r w:rsidRPr="0023485C">
        <w:rPr>
          <w:rFonts w:asciiTheme="majorHAnsi" w:hAnsiTheme="majorHAnsi" w:cstheme="majorHAnsi"/>
          <w:sz w:val="22"/>
          <w:szCs w:val="22"/>
          <w:lang w:val="en-GB"/>
        </w:rPr>
        <w:t>roject builds on award winning research (</w:t>
      </w:r>
      <w:proofErr w:type="spellStart"/>
      <w:r w:rsidRPr="0023485C">
        <w:rPr>
          <w:rFonts w:asciiTheme="majorHAnsi" w:hAnsiTheme="majorHAnsi" w:cstheme="majorHAnsi"/>
          <w:bCs/>
          <w:color w:val="000000"/>
          <w:sz w:val="22"/>
          <w:szCs w:val="22"/>
          <w:lang w:val="en-GB"/>
        </w:rPr>
        <w:t>Kuznetsov</w:t>
      </w:r>
      <w:proofErr w:type="spellEnd"/>
      <w:r>
        <w:rPr>
          <w:rFonts w:asciiTheme="majorHAnsi" w:hAnsiTheme="majorHAnsi" w:cstheme="majorHAnsi"/>
          <w:bCs/>
          <w:color w:val="000000"/>
          <w:sz w:val="22"/>
          <w:szCs w:val="22"/>
          <w:lang w:val="en-GB"/>
        </w:rPr>
        <w:t>, 2014</w:t>
      </w:r>
      <w:r w:rsidRPr="0023485C">
        <w:rPr>
          <w:rFonts w:asciiTheme="majorHAnsi" w:hAnsiTheme="majorHAnsi" w:cstheme="majorHAnsi"/>
          <w:bCs/>
          <w:color w:val="000000"/>
          <w:sz w:val="22"/>
          <w:szCs w:val="22"/>
          <w:lang w:val="en-GB"/>
        </w:rPr>
        <w:t>),</w:t>
      </w:r>
      <w:r w:rsidRPr="0023485C">
        <w:rPr>
          <w:rFonts w:asciiTheme="majorHAnsi" w:hAnsiTheme="majorHAnsi" w:cstheme="majorHAnsi"/>
          <w:sz w:val="22"/>
          <w:szCs w:val="22"/>
          <w:lang w:val="en-GB"/>
        </w:rPr>
        <w:t xml:space="preserve"> which aimed to assist smaller ports in Cornwall and Devon (CAD) to ensure more sustainable maritime operations and development</w:t>
      </w:r>
      <w:r>
        <w:rPr>
          <w:rFonts w:asciiTheme="majorHAnsi" w:hAnsiTheme="majorHAnsi" w:cstheme="majorHAnsi"/>
          <w:sz w:val="22"/>
          <w:szCs w:val="22"/>
          <w:lang w:val="en-GB"/>
        </w:rPr>
        <w:t>,</w:t>
      </w:r>
      <w:r w:rsidRPr="0023485C">
        <w:rPr>
          <w:rFonts w:asciiTheme="majorHAnsi" w:hAnsiTheme="majorHAnsi" w:cstheme="majorHAnsi"/>
          <w:sz w:val="22"/>
          <w:szCs w:val="22"/>
          <w:lang w:val="en-GB"/>
        </w:rPr>
        <w:t xml:space="preserve"> helping them to survive and grow by safeguarding vital commercial revenue streams. This work will assess the planning, processes and systems required to disseminate PSMS beyond CAD into the UK</w:t>
      </w:r>
      <w:r>
        <w:rPr>
          <w:rFonts w:asciiTheme="majorHAnsi" w:hAnsiTheme="majorHAnsi" w:cstheme="majorHAnsi"/>
          <w:sz w:val="22"/>
          <w:szCs w:val="22"/>
          <w:lang w:val="en-GB"/>
        </w:rPr>
        <w:t xml:space="preserve"> and</w:t>
      </w:r>
      <w:r w:rsidRPr="0023485C">
        <w:rPr>
          <w:rFonts w:asciiTheme="majorHAnsi" w:hAnsiTheme="majorHAnsi" w:cstheme="majorHAnsi"/>
          <w:sz w:val="22"/>
          <w:szCs w:val="22"/>
          <w:lang w:val="en-GB"/>
        </w:rPr>
        <w:t xml:space="preserve"> Turkey by assessing any requirements for modifications, the benefits offer</w:t>
      </w:r>
      <w:r>
        <w:rPr>
          <w:rFonts w:asciiTheme="majorHAnsi" w:hAnsiTheme="majorHAnsi" w:cstheme="majorHAnsi"/>
          <w:sz w:val="22"/>
          <w:szCs w:val="22"/>
          <w:lang w:val="en-GB"/>
        </w:rPr>
        <w:t>ed</w:t>
      </w:r>
      <w:r w:rsidRPr="0023485C">
        <w:rPr>
          <w:rFonts w:asciiTheme="majorHAnsi" w:hAnsiTheme="majorHAnsi" w:cstheme="majorHAnsi"/>
          <w:sz w:val="22"/>
          <w:szCs w:val="22"/>
          <w:lang w:val="en-GB"/>
        </w:rPr>
        <w:t>, and barriers to implementation.</w:t>
      </w:r>
    </w:p>
    <w:p w14:paraId="18360CC7" w14:textId="77777777" w:rsidR="00E36957" w:rsidRPr="00E36957" w:rsidRDefault="00E36957" w:rsidP="00E36957">
      <w:pPr>
        <w:widowControl w:val="0"/>
        <w:autoSpaceDE w:val="0"/>
        <w:autoSpaceDN w:val="0"/>
        <w:adjustRightInd w:val="0"/>
        <w:spacing w:line="259" w:lineRule="auto"/>
        <w:jc w:val="both"/>
        <w:rPr>
          <w:rFonts w:asciiTheme="majorHAnsi" w:hAnsiTheme="majorHAnsi" w:cstheme="majorHAnsi"/>
          <w:color w:val="000000"/>
          <w:sz w:val="16"/>
          <w:szCs w:val="22"/>
          <w:lang w:val="en-GB"/>
        </w:rPr>
      </w:pPr>
    </w:p>
    <w:p w14:paraId="658C65FE" w14:textId="3D6F0026" w:rsidR="002468E0" w:rsidRDefault="002468E0" w:rsidP="00E36957">
      <w:pPr>
        <w:widowControl w:val="0"/>
        <w:autoSpaceDE w:val="0"/>
        <w:autoSpaceDN w:val="0"/>
        <w:adjustRightInd w:val="0"/>
        <w:spacing w:line="259" w:lineRule="auto"/>
        <w:jc w:val="both"/>
        <w:rPr>
          <w:rFonts w:asciiTheme="majorHAnsi" w:hAnsiTheme="majorHAnsi" w:cstheme="majorHAnsi"/>
          <w:color w:val="000000"/>
          <w:sz w:val="22"/>
          <w:szCs w:val="22"/>
          <w:lang w:val="en-GB"/>
        </w:rPr>
      </w:pPr>
      <w:r>
        <w:rPr>
          <w:rFonts w:asciiTheme="majorHAnsi" w:hAnsiTheme="majorHAnsi" w:cstheme="majorHAnsi"/>
          <w:color w:val="000000"/>
          <w:sz w:val="22"/>
          <w:szCs w:val="22"/>
          <w:lang w:val="en-GB"/>
        </w:rPr>
        <w:t>The i</w:t>
      </w:r>
      <w:r w:rsidRPr="0023485C">
        <w:rPr>
          <w:rFonts w:asciiTheme="majorHAnsi" w:hAnsiTheme="majorHAnsi" w:cstheme="majorHAnsi"/>
          <w:color w:val="000000"/>
          <w:sz w:val="22"/>
          <w:szCs w:val="22"/>
          <w:lang w:val="en-GB"/>
        </w:rPr>
        <w:t xml:space="preserve">mportance of sustainability is </w:t>
      </w:r>
      <w:r>
        <w:rPr>
          <w:rFonts w:asciiTheme="majorHAnsi" w:hAnsiTheme="majorHAnsi" w:cstheme="majorHAnsi"/>
          <w:color w:val="000000"/>
          <w:sz w:val="22"/>
          <w:szCs w:val="22"/>
          <w:lang w:val="en-GB"/>
        </w:rPr>
        <w:t>continuously increasing</w:t>
      </w:r>
      <w:r w:rsidRPr="0023485C">
        <w:rPr>
          <w:rFonts w:asciiTheme="majorHAnsi" w:hAnsiTheme="majorHAnsi" w:cstheme="majorHAnsi"/>
          <w:color w:val="000000"/>
          <w:sz w:val="22"/>
          <w:szCs w:val="22"/>
          <w:lang w:val="en-GB"/>
        </w:rPr>
        <w:t xml:space="preserve"> in the port</w:t>
      </w:r>
      <w:r>
        <w:rPr>
          <w:rFonts w:asciiTheme="majorHAnsi" w:hAnsiTheme="majorHAnsi" w:cstheme="majorHAnsi"/>
          <w:color w:val="000000"/>
          <w:sz w:val="22"/>
          <w:szCs w:val="22"/>
          <w:lang w:val="en-GB"/>
        </w:rPr>
        <w:t>s</w:t>
      </w:r>
      <w:r w:rsidRPr="0023485C">
        <w:rPr>
          <w:rFonts w:asciiTheme="majorHAnsi" w:hAnsiTheme="majorHAnsi" w:cstheme="majorHAnsi"/>
          <w:color w:val="000000"/>
          <w:sz w:val="22"/>
          <w:szCs w:val="22"/>
          <w:lang w:val="en-GB"/>
        </w:rPr>
        <w:t xml:space="preserve"> industry. Several port sustainability systems</w:t>
      </w:r>
      <w:r>
        <w:rPr>
          <w:rFonts w:asciiTheme="majorHAnsi" w:hAnsiTheme="majorHAnsi" w:cstheme="majorHAnsi"/>
          <w:color w:val="000000"/>
          <w:sz w:val="22"/>
          <w:szCs w:val="22"/>
          <w:lang w:val="en-GB"/>
        </w:rPr>
        <w:t xml:space="preserve"> </w:t>
      </w:r>
      <w:r w:rsidRPr="0023485C">
        <w:rPr>
          <w:rFonts w:asciiTheme="majorHAnsi" w:hAnsiTheme="majorHAnsi" w:cstheme="majorHAnsi"/>
          <w:color w:val="000000"/>
          <w:sz w:val="22"/>
          <w:szCs w:val="22"/>
          <w:lang w:val="en-GB"/>
        </w:rPr>
        <w:t xml:space="preserve">are designed to </w:t>
      </w:r>
      <w:r>
        <w:rPr>
          <w:rFonts w:asciiTheme="majorHAnsi" w:hAnsiTheme="majorHAnsi" w:cstheme="majorHAnsi"/>
          <w:color w:val="000000"/>
          <w:sz w:val="22"/>
          <w:szCs w:val="22"/>
          <w:lang w:val="en-GB"/>
        </w:rPr>
        <w:t xml:space="preserve">assist </w:t>
      </w:r>
      <w:r w:rsidRPr="0023485C">
        <w:rPr>
          <w:rFonts w:asciiTheme="majorHAnsi" w:hAnsiTheme="majorHAnsi" w:cstheme="majorHAnsi"/>
          <w:color w:val="000000"/>
          <w:sz w:val="22"/>
          <w:szCs w:val="22"/>
          <w:lang w:val="en-GB"/>
        </w:rPr>
        <w:t xml:space="preserve">ports </w:t>
      </w:r>
      <w:r>
        <w:rPr>
          <w:rFonts w:asciiTheme="majorHAnsi" w:hAnsiTheme="majorHAnsi" w:cstheme="majorHAnsi"/>
          <w:color w:val="000000"/>
          <w:sz w:val="22"/>
          <w:szCs w:val="22"/>
          <w:lang w:val="en-GB"/>
        </w:rPr>
        <w:t xml:space="preserve">to become </w:t>
      </w:r>
      <w:r w:rsidRPr="0023485C">
        <w:rPr>
          <w:rFonts w:asciiTheme="majorHAnsi" w:hAnsiTheme="majorHAnsi" w:cstheme="majorHAnsi"/>
          <w:color w:val="000000"/>
          <w:sz w:val="22"/>
          <w:szCs w:val="22"/>
          <w:lang w:val="en-GB"/>
        </w:rPr>
        <w:t xml:space="preserve">more sustainable by putting </w:t>
      </w:r>
      <w:r>
        <w:rPr>
          <w:rFonts w:asciiTheme="majorHAnsi" w:hAnsiTheme="majorHAnsi" w:cstheme="majorHAnsi"/>
          <w:color w:val="000000"/>
          <w:sz w:val="22"/>
          <w:szCs w:val="22"/>
          <w:lang w:val="en-GB"/>
        </w:rPr>
        <w:t xml:space="preserve">the </w:t>
      </w:r>
      <w:r w:rsidRPr="0023485C">
        <w:rPr>
          <w:rFonts w:asciiTheme="majorHAnsi" w:hAnsiTheme="majorHAnsi" w:cstheme="majorHAnsi"/>
          <w:color w:val="000000"/>
          <w:sz w:val="22"/>
          <w:szCs w:val="22"/>
          <w:lang w:val="en-GB"/>
        </w:rPr>
        <w:t xml:space="preserve">environment first as their priority. One of these sustainability management systems is </w:t>
      </w:r>
      <w:r>
        <w:rPr>
          <w:rFonts w:asciiTheme="majorHAnsi" w:hAnsiTheme="majorHAnsi" w:cstheme="majorHAnsi"/>
          <w:color w:val="000000"/>
          <w:sz w:val="22"/>
          <w:szCs w:val="22"/>
          <w:lang w:val="en-GB"/>
        </w:rPr>
        <w:t xml:space="preserve">the </w:t>
      </w:r>
      <w:r w:rsidRPr="0023485C">
        <w:rPr>
          <w:rFonts w:asciiTheme="majorHAnsi" w:hAnsiTheme="majorHAnsi" w:cstheme="majorHAnsi"/>
          <w:color w:val="000000"/>
          <w:sz w:val="22"/>
          <w:szCs w:val="22"/>
          <w:lang w:val="en-GB"/>
        </w:rPr>
        <w:t xml:space="preserve">Port Sustainability Management System (PSMS). PSMS is designed to assist </w:t>
      </w:r>
      <w:r>
        <w:rPr>
          <w:rFonts w:asciiTheme="majorHAnsi" w:hAnsiTheme="majorHAnsi" w:cstheme="majorHAnsi"/>
          <w:color w:val="000000"/>
          <w:sz w:val="22"/>
          <w:szCs w:val="22"/>
          <w:lang w:val="en-GB"/>
        </w:rPr>
        <w:t>h</w:t>
      </w:r>
      <w:r w:rsidRPr="0023485C">
        <w:rPr>
          <w:rFonts w:asciiTheme="majorHAnsi" w:hAnsiTheme="majorHAnsi" w:cstheme="majorHAnsi"/>
          <w:color w:val="000000"/>
          <w:sz w:val="22"/>
          <w:szCs w:val="22"/>
          <w:lang w:val="en-GB"/>
        </w:rPr>
        <w:t xml:space="preserve">arbour </w:t>
      </w:r>
      <w:r>
        <w:rPr>
          <w:rFonts w:asciiTheme="majorHAnsi" w:hAnsiTheme="majorHAnsi" w:cstheme="majorHAnsi"/>
          <w:color w:val="000000"/>
          <w:sz w:val="22"/>
          <w:szCs w:val="22"/>
          <w:lang w:val="en-GB"/>
        </w:rPr>
        <w:t>m</w:t>
      </w:r>
      <w:r w:rsidRPr="0023485C">
        <w:rPr>
          <w:rFonts w:asciiTheme="majorHAnsi" w:hAnsiTheme="majorHAnsi" w:cstheme="majorHAnsi"/>
          <w:color w:val="000000"/>
          <w:sz w:val="22"/>
          <w:szCs w:val="22"/>
          <w:lang w:val="en-GB"/>
        </w:rPr>
        <w:t>asters to identify and document any concerns they may have (</w:t>
      </w:r>
      <w:proofErr w:type="spellStart"/>
      <w:r w:rsidRPr="0023485C">
        <w:rPr>
          <w:rFonts w:asciiTheme="majorHAnsi" w:hAnsiTheme="majorHAnsi" w:cstheme="majorHAnsi"/>
          <w:color w:val="000000"/>
          <w:sz w:val="22"/>
          <w:szCs w:val="22"/>
          <w:lang w:val="en-GB"/>
        </w:rPr>
        <w:t>Kuznetsov</w:t>
      </w:r>
      <w:proofErr w:type="spellEnd"/>
      <w:r w:rsidRPr="0023485C">
        <w:rPr>
          <w:rFonts w:asciiTheme="majorHAnsi" w:hAnsiTheme="majorHAnsi" w:cstheme="majorHAnsi"/>
          <w:color w:val="000000"/>
          <w:sz w:val="22"/>
          <w:szCs w:val="22"/>
          <w:lang w:val="en-GB"/>
        </w:rPr>
        <w:t>, 2014). PSMS is a system</w:t>
      </w:r>
      <w:r>
        <w:rPr>
          <w:rFonts w:asciiTheme="majorHAnsi" w:hAnsiTheme="majorHAnsi" w:cstheme="majorHAnsi"/>
          <w:color w:val="000000"/>
          <w:sz w:val="22"/>
          <w:szCs w:val="22"/>
          <w:lang w:val="en-GB"/>
        </w:rPr>
        <w:t>,</w:t>
      </w:r>
      <w:r w:rsidRPr="0023485C">
        <w:rPr>
          <w:rFonts w:asciiTheme="majorHAnsi" w:hAnsiTheme="majorHAnsi" w:cstheme="majorHAnsi"/>
          <w:color w:val="000000"/>
          <w:sz w:val="22"/>
          <w:szCs w:val="22"/>
          <w:lang w:val="en-GB"/>
        </w:rPr>
        <w:t xml:space="preserve"> which is designed to help harbour masters </w:t>
      </w:r>
      <w:r>
        <w:rPr>
          <w:rFonts w:asciiTheme="majorHAnsi" w:hAnsiTheme="majorHAnsi" w:cstheme="majorHAnsi"/>
          <w:color w:val="000000"/>
          <w:sz w:val="22"/>
          <w:szCs w:val="22"/>
          <w:lang w:val="en-GB"/>
        </w:rPr>
        <w:t>to execute t</w:t>
      </w:r>
      <w:r w:rsidRPr="0023485C">
        <w:rPr>
          <w:rFonts w:asciiTheme="majorHAnsi" w:hAnsiTheme="majorHAnsi" w:cstheme="majorHAnsi"/>
          <w:color w:val="000000"/>
          <w:sz w:val="22"/>
          <w:szCs w:val="22"/>
          <w:lang w:val="en-GB"/>
        </w:rPr>
        <w:t xml:space="preserve">heir </w:t>
      </w:r>
      <w:r>
        <w:rPr>
          <w:rFonts w:asciiTheme="majorHAnsi" w:hAnsiTheme="majorHAnsi" w:cstheme="majorHAnsi"/>
          <w:color w:val="000000"/>
          <w:sz w:val="22"/>
          <w:szCs w:val="22"/>
          <w:lang w:val="en-GB"/>
        </w:rPr>
        <w:t xml:space="preserve">practical </w:t>
      </w:r>
      <w:r w:rsidRPr="0023485C">
        <w:rPr>
          <w:rFonts w:asciiTheme="majorHAnsi" w:hAnsiTheme="majorHAnsi" w:cstheme="majorHAnsi"/>
          <w:color w:val="000000"/>
          <w:sz w:val="22"/>
          <w:szCs w:val="22"/>
          <w:lang w:val="en-GB"/>
        </w:rPr>
        <w:t>responsibilities</w:t>
      </w:r>
      <w:r>
        <w:rPr>
          <w:rFonts w:asciiTheme="majorHAnsi" w:hAnsiTheme="majorHAnsi" w:cstheme="majorHAnsi"/>
          <w:color w:val="000000"/>
          <w:sz w:val="22"/>
          <w:szCs w:val="22"/>
          <w:lang w:val="en-GB"/>
        </w:rPr>
        <w:t xml:space="preserve"> in managing ports sustainably</w:t>
      </w:r>
      <w:r w:rsidRPr="0023485C">
        <w:rPr>
          <w:rFonts w:asciiTheme="majorHAnsi" w:hAnsiTheme="majorHAnsi" w:cstheme="majorHAnsi"/>
          <w:color w:val="000000"/>
          <w:sz w:val="22"/>
          <w:szCs w:val="22"/>
          <w:lang w:val="en-GB"/>
        </w:rPr>
        <w:t>.  PSMS assists harbour masters to see their organisation</w:t>
      </w:r>
      <w:r>
        <w:rPr>
          <w:rFonts w:asciiTheme="majorHAnsi" w:hAnsiTheme="majorHAnsi" w:cstheme="majorHAnsi"/>
          <w:color w:val="000000"/>
          <w:sz w:val="22"/>
          <w:szCs w:val="22"/>
          <w:lang w:val="en-GB"/>
        </w:rPr>
        <w:t>’</w:t>
      </w:r>
      <w:r w:rsidRPr="0023485C">
        <w:rPr>
          <w:rFonts w:asciiTheme="majorHAnsi" w:hAnsiTheme="majorHAnsi" w:cstheme="majorHAnsi"/>
          <w:color w:val="000000"/>
          <w:sz w:val="22"/>
          <w:szCs w:val="22"/>
          <w:lang w:val="en-GB"/>
        </w:rPr>
        <w:t xml:space="preserve">s current </w:t>
      </w:r>
      <w:r>
        <w:rPr>
          <w:rFonts w:asciiTheme="majorHAnsi" w:hAnsiTheme="majorHAnsi" w:cstheme="majorHAnsi"/>
          <w:color w:val="000000"/>
          <w:sz w:val="22"/>
          <w:szCs w:val="22"/>
          <w:lang w:val="en-GB"/>
        </w:rPr>
        <w:t xml:space="preserve">achievement </w:t>
      </w:r>
      <w:r w:rsidRPr="0023485C">
        <w:rPr>
          <w:rFonts w:asciiTheme="majorHAnsi" w:hAnsiTheme="majorHAnsi" w:cstheme="majorHAnsi"/>
          <w:color w:val="000000"/>
          <w:sz w:val="22"/>
          <w:szCs w:val="22"/>
          <w:lang w:val="en-GB"/>
        </w:rPr>
        <w:t>level in terms of sustainability</w:t>
      </w:r>
      <w:r>
        <w:rPr>
          <w:rFonts w:asciiTheme="majorHAnsi" w:hAnsiTheme="majorHAnsi" w:cstheme="majorHAnsi"/>
          <w:color w:val="000000"/>
          <w:sz w:val="22"/>
          <w:szCs w:val="22"/>
          <w:lang w:val="en-GB"/>
        </w:rPr>
        <w:t>,</w:t>
      </w:r>
      <w:r w:rsidRPr="0023485C">
        <w:rPr>
          <w:rFonts w:asciiTheme="majorHAnsi" w:hAnsiTheme="majorHAnsi" w:cstheme="majorHAnsi"/>
          <w:color w:val="000000"/>
          <w:sz w:val="22"/>
          <w:szCs w:val="22"/>
          <w:lang w:val="en-GB"/>
        </w:rPr>
        <w:t xml:space="preserve"> </w:t>
      </w:r>
      <w:r>
        <w:rPr>
          <w:rFonts w:asciiTheme="majorHAnsi" w:hAnsiTheme="majorHAnsi" w:cstheme="majorHAnsi"/>
          <w:color w:val="000000"/>
          <w:sz w:val="22"/>
          <w:szCs w:val="22"/>
          <w:lang w:val="en-GB"/>
        </w:rPr>
        <w:t>based on</w:t>
      </w:r>
      <w:r w:rsidRPr="0023485C">
        <w:rPr>
          <w:rFonts w:asciiTheme="majorHAnsi" w:hAnsiTheme="majorHAnsi" w:cstheme="majorHAnsi"/>
          <w:color w:val="000000"/>
          <w:sz w:val="22"/>
          <w:szCs w:val="22"/>
          <w:lang w:val="en-GB"/>
        </w:rPr>
        <w:t xml:space="preserve"> eleven pillars</w:t>
      </w:r>
      <w:r>
        <w:rPr>
          <w:rFonts w:asciiTheme="majorHAnsi" w:hAnsiTheme="majorHAnsi" w:cstheme="majorHAnsi"/>
          <w:color w:val="000000"/>
          <w:sz w:val="22"/>
          <w:szCs w:val="22"/>
          <w:lang w:val="en-GB"/>
        </w:rPr>
        <w:t>,</w:t>
      </w:r>
      <w:r w:rsidRPr="0023485C">
        <w:rPr>
          <w:rFonts w:asciiTheme="majorHAnsi" w:hAnsiTheme="majorHAnsi" w:cstheme="majorHAnsi"/>
          <w:color w:val="000000"/>
          <w:sz w:val="22"/>
          <w:szCs w:val="22"/>
          <w:lang w:val="en-GB"/>
        </w:rPr>
        <w:t xml:space="preserve"> </w:t>
      </w:r>
      <w:r>
        <w:rPr>
          <w:rFonts w:asciiTheme="majorHAnsi" w:hAnsiTheme="majorHAnsi" w:cstheme="majorHAnsi"/>
          <w:color w:val="000000"/>
          <w:sz w:val="22"/>
          <w:szCs w:val="22"/>
          <w:lang w:val="en-GB"/>
        </w:rPr>
        <w:t>which encourage ha</w:t>
      </w:r>
      <w:r w:rsidRPr="0023485C">
        <w:rPr>
          <w:rFonts w:asciiTheme="majorHAnsi" w:hAnsiTheme="majorHAnsi" w:cstheme="majorHAnsi"/>
          <w:color w:val="000000"/>
          <w:sz w:val="22"/>
          <w:szCs w:val="22"/>
          <w:lang w:val="en-GB"/>
        </w:rPr>
        <w:t xml:space="preserve">rbour masters to plan future development </w:t>
      </w:r>
      <w:r>
        <w:rPr>
          <w:rFonts w:asciiTheme="majorHAnsi" w:hAnsiTheme="majorHAnsi" w:cstheme="majorHAnsi"/>
          <w:color w:val="000000"/>
          <w:sz w:val="22"/>
          <w:szCs w:val="22"/>
          <w:lang w:val="en-GB"/>
        </w:rPr>
        <w:t>with</w:t>
      </w:r>
      <w:r w:rsidRPr="0023485C">
        <w:rPr>
          <w:rFonts w:asciiTheme="majorHAnsi" w:hAnsiTheme="majorHAnsi" w:cstheme="majorHAnsi"/>
          <w:color w:val="000000"/>
          <w:sz w:val="22"/>
          <w:szCs w:val="22"/>
          <w:lang w:val="en-GB"/>
        </w:rPr>
        <w:t xml:space="preserve">in </w:t>
      </w:r>
      <w:r>
        <w:rPr>
          <w:rFonts w:asciiTheme="majorHAnsi" w:hAnsiTheme="majorHAnsi" w:cstheme="majorHAnsi"/>
          <w:color w:val="000000"/>
          <w:sz w:val="22"/>
          <w:szCs w:val="22"/>
          <w:lang w:val="en-GB"/>
        </w:rPr>
        <w:t>area</w:t>
      </w:r>
      <w:r w:rsidRPr="0023485C">
        <w:rPr>
          <w:rFonts w:asciiTheme="majorHAnsi" w:hAnsiTheme="majorHAnsi" w:cstheme="majorHAnsi"/>
          <w:color w:val="000000"/>
          <w:sz w:val="22"/>
          <w:szCs w:val="22"/>
          <w:lang w:val="en-GB"/>
        </w:rPr>
        <w:t>s that need to be improved. The eleven-pillar</w:t>
      </w:r>
      <w:r>
        <w:rPr>
          <w:rFonts w:asciiTheme="majorHAnsi" w:hAnsiTheme="majorHAnsi" w:cstheme="majorHAnsi"/>
          <w:color w:val="000000"/>
          <w:sz w:val="22"/>
          <w:szCs w:val="22"/>
          <w:lang w:val="en-GB"/>
        </w:rPr>
        <w:t>s (</w:t>
      </w:r>
      <w:r w:rsidRPr="0023485C">
        <w:rPr>
          <w:rFonts w:asciiTheme="majorHAnsi" w:hAnsiTheme="majorHAnsi" w:cstheme="majorHAnsi"/>
          <w:color w:val="000000"/>
          <w:sz w:val="22"/>
          <w:szCs w:val="22"/>
          <w:lang w:val="en-GB"/>
        </w:rPr>
        <w:t>Figure 1</w:t>
      </w:r>
      <w:r>
        <w:rPr>
          <w:rFonts w:asciiTheme="majorHAnsi" w:hAnsiTheme="majorHAnsi" w:cstheme="majorHAnsi"/>
          <w:color w:val="000000"/>
          <w:sz w:val="22"/>
          <w:szCs w:val="22"/>
          <w:lang w:val="en-GB"/>
        </w:rPr>
        <w:t xml:space="preserve">) </w:t>
      </w:r>
      <w:r w:rsidRPr="0023485C">
        <w:rPr>
          <w:rFonts w:asciiTheme="majorHAnsi" w:hAnsiTheme="majorHAnsi" w:cstheme="majorHAnsi"/>
          <w:color w:val="000000"/>
          <w:sz w:val="22"/>
          <w:szCs w:val="22"/>
          <w:lang w:val="en-GB"/>
        </w:rPr>
        <w:t xml:space="preserve">relate to harbour operations, to achieve the goal of </w:t>
      </w:r>
      <w:r>
        <w:rPr>
          <w:rFonts w:asciiTheme="majorHAnsi" w:hAnsiTheme="majorHAnsi" w:cstheme="majorHAnsi"/>
          <w:color w:val="000000"/>
          <w:sz w:val="22"/>
          <w:szCs w:val="22"/>
          <w:lang w:val="en-GB"/>
        </w:rPr>
        <w:t xml:space="preserve">a </w:t>
      </w:r>
      <w:r w:rsidRPr="0023485C">
        <w:rPr>
          <w:rFonts w:asciiTheme="majorHAnsi" w:hAnsiTheme="majorHAnsi" w:cstheme="majorHAnsi"/>
          <w:color w:val="000000"/>
          <w:sz w:val="22"/>
          <w:szCs w:val="22"/>
          <w:lang w:val="en-GB"/>
        </w:rPr>
        <w:t>sustainable harbour (</w:t>
      </w:r>
      <w:proofErr w:type="spellStart"/>
      <w:r w:rsidRPr="0023485C">
        <w:rPr>
          <w:rFonts w:asciiTheme="majorHAnsi" w:hAnsiTheme="majorHAnsi" w:cstheme="majorHAnsi"/>
          <w:color w:val="000000"/>
          <w:sz w:val="22"/>
          <w:szCs w:val="22"/>
          <w:lang w:val="en-GB"/>
        </w:rPr>
        <w:t>Kuznetsov</w:t>
      </w:r>
      <w:proofErr w:type="spellEnd"/>
      <w:r w:rsidRPr="0023485C">
        <w:rPr>
          <w:rFonts w:asciiTheme="majorHAnsi" w:hAnsiTheme="majorHAnsi" w:cstheme="majorHAnsi"/>
          <w:color w:val="000000"/>
          <w:sz w:val="22"/>
          <w:szCs w:val="22"/>
          <w:lang w:val="en-GB"/>
        </w:rPr>
        <w:t xml:space="preserve">, 2014). </w:t>
      </w:r>
      <w:r w:rsidR="001A10C5" w:rsidRPr="0023485C">
        <w:rPr>
          <w:rFonts w:asciiTheme="majorHAnsi" w:hAnsiTheme="majorHAnsi" w:cstheme="majorHAnsi"/>
          <w:color w:val="000000"/>
          <w:sz w:val="22"/>
          <w:szCs w:val="22"/>
          <w:lang w:val="en-GB"/>
        </w:rPr>
        <w:t>The aim of the PSMS is to create a system that assists harbour masters to self-evaluate the</w:t>
      </w:r>
      <w:r w:rsidR="001A10C5">
        <w:rPr>
          <w:rFonts w:asciiTheme="majorHAnsi" w:hAnsiTheme="majorHAnsi" w:cstheme="majorHAnsi"/>
          <w:color w:val="000000"/>
          <w:sz w:val="22"/>
          <w:szCs w:val="22"/>
          <w:lang w:val="en-GB"/>
        </w:rPr>
        <w:t xml:space="preserve"> sustainability of the</w:t>
      </w:r>
      <w:r w:rsidR="001A10C5" w:rsidRPr="0023485C">
        <w:rPr>
          <w:rFonts w:asciiTheme="majorHAnsi" w:hAnsiTheme="majorHAnsi" w:cstheme="majorHAnsi"/>
          <w:color w:val="000000"/>
          <w:sz w:val="22"/>
          <w:szCs w:val="22"/>
          <w:lang w:val="en-GB"/>
        </w:rPr>
        <w:t xml:space="preserve">ir organisation and </w:t>
      </w:r>
      <w:r w:rsidR="001A10C5">
        <w:rPr>
          <w:rFonts w:asciiTheme="majorHAnsi" w:hAnsiTheme="majorHAnsi" w:cstheme="majorHAnsi"/>
          <w:color w:val="000000"/>
          <w:sz w:val="22"/>
          <w:szCs w:val="22"/>
          <w:lang w:val="en-GB"/>
        </w:rPr>
        <w:t xml:space="preserve">to </w:t>
      </w:r>
      <w:r w:rsidR="001A10C5" w:rsidRPr="0023485C">
        <w:rPr>
          <w:rFonts w:asciiTheme="majorHAnsi" w:hAnsiTheme="majorHAnsi" w:cstheme="majorHAnsi"/>
          <w:color w:val="000000"/>
          <w:sz w:val="22"/>
          <w:szCs w:val="22"/>
          <w:lang w:val="en-GB"/>
        </w:rPr>
        <w:t>designate prior</w:t>
      </w:r>
      <w:r w:rsidR="001A10C5">
        <w:rPr>
          <w:rFonts w:asciiTheme="majorHAnsi" w:hAnsiTheme="majorHAnsi" w:cstheme="majorHAnsi"/>
          <w:color w:val="000000"/>
          <w:sz w:val="22"/>
          <w:szCs w:val="22"/>
          <w:lang w:val="en-GB"/>
        </w:rPr>
        <w:t>ity</w:t>
      </w:r>
      <w:r w:rsidR="001A10C5" w:rsidRPr="0023485C">
        <w:rPr>
          <w:rFonts w:asciiTheme="majorHAnsi" w:hAnsiTheme="majorHAnsi" w:cstheme="majorHAnsi"/>
          <w:color w:val="000000"/>
          <w:sz w:val="22"/>
          <w:szCs w:val="22"/>
          <w:lang w:val="en-GB"/>
        </w:rPr>
        <w:t xml:space="preserve"> areas that </w:t>
      </w:r>
      <w:r w:rsidR="001A10C5">
        <w:rPr>
          <w:rFonts w:asciiTheme="majorHAnsi" w:hAnsiTheme="majorHAnsi" w:cstheme="majorHAnsi"/>
          <w:color w:val="000000"/>
          <w:sz w:val="22"/>
          <w:szCs w:val="22"/>
          <w:lang w:val="en-GB"/>
        </w:rPr>
        <w:t>require</w:t>
      </w:r>
      <w:r w:rsidR="001A10C5" w:rsidRPr="0023485C">
        <w:rPr>
          <w:rFonts w:asciiTheme="majorHAnsi" w:hAnsiTheme="majorHAnsi" w:cstheme="majorHAnsi"/>
          <w:color w:val="000000"/>
          <w:sz w:val="22"/>
          <w:szCs w:val="22"/>
          <w:lang w:val="en-GB"/>
        </w:rPr>
        <w:t xml:space="preserve"> improvement</w:t>
      </w:r>
      <w:r w:rsidR="001A10C5">
        <w:rPr>
          <w:rFonts w:asciiTheme="majorHAnsi" w:hAnsiTheme="majorHAnsi" w:cstheme="majorHAnsi"/>
          <w:color w:val="000000"/>
          <w:sz w:val="22"/>
          <w:szCs w:val="22"/>
          <w:lang w:val="en-GB"/>
        </w:rPr>
        <w:t xml:space="preserve">, indicated by a </w:t>
      </w:r>
      <w:r w:rsidR="001A10C5" w:rsidRPr="0023485C">
        <w:rPr>
          <w:rFonts w:asciiTheme="majorHAnsi" w:hAnsiTheme="majorHAnsi" w:cstheme="majorHAnsi"/>
          <w:color w:val="000000"/>
          <w:sz w:val="22"/>
          <w:szCs w:val="22"/>
          <w:lang w:val="en-GB"/>
        </w:rPr>
        <w:t xml:space="preserve">system that </w:t>
      </w:r>
      <w:r w:rsidR="001A10C5">
        <w:rPr>
          <w:rFonts w:asciiTheme="majorHAnsi" w:hAnsiTheme="majorHAnsi" w:cstheme="majorHAnsi"/>
          <w:color w:val="000000"/>
          <w:sz w:val="22"/>
          <w:szCs w:val="22"/>
          <w:lang w:val="en-GB"/>
        </w:rPr>
        <w:t xml:space="preserve">is designed to be appropriate for a range of </w:t>
      </w:r>
      <w:r w:rsidR="001A10C5" w:rsidRPr="0023485C">
        <w:rPr>
          <w:rFonts w:asciiTheme="majorHAnsi" w:hAnsiTheme="majorHAnsi" w:cstheme="majorHAnsi"/>
          <w:color w:val="000000"/>
          <w:sz w:val="22"/>
          <w:szCs w:val="22"/>
          <w:lang w:val="en-GB"/>
        </w:rPr>
        <w:t>port</w:t>
      </w:r>
      <w:r w:rsidR="001A10C5">
        <w:rPr>
          <w:rFonts w:asciiTheme="majorHAnsi" w:hAnsiTheme="majorHAnsi" w:cstheme="majorHAnsi"/>
          <w:color w:val="000000"/>
          <w:sz w:val="22"/>
          <w:szCs w:val="22"/>
          <w:lang w:val="en-GB"/>
        </w:rPr>
        <w:t>s.</w:t>
      </w:r>
    </w:p>
    <w:p w14:paraId="6665832D" w14:textId="77777777" w:rsidR="00E36957" w:rsidRPr="00E36957" w:rsidRDefault="00E36957" w:rsidP="00E36957">
      <w:pPr>
        <w:widowControl w:val="0"/>
        <w:autoSpaceDE w:val="0"/>
        <w:autoSpaceDN w:val="0"/>
        <w:adjustRightInd w:val="0"/>
        <w:spacing w:line="259" w:lineRule="auto"/>
        <w:jc w:val="both"/>
        <w:rPr>
          <w:rFonts w:asciiTheme="majorHAnsi" w:hAnsiTheme="majorHAnsi" w:cstheme="majorHAnsi"/>
          <w:color w:val="000000"/>
          <w:sz w:val="16"/>
          <w:szCs w:val="22"/>
          <w:lang w:val="en-GB"/>
        </w:rPr>
      </w:pPr>
    </w:p>
    <w:p w14:paraId="6FAE44C7" w14:textId="77777777" w:rsidR="00E36957" w:rsidRDefault="002468E0" w:rsidP="00E36957">
      <w:pPr>
        <w:keepNext/>
        <w:widowControl w:val="0"/>
        <w:autoSpaceDE w:val="0"/>
        <w:autoSpaceDN w:val="0"/>
        <w:adjustRightInd w:val="0"/>
        <w:spacing w:line="259" w:lineRule="auto"/>
        <w:jc w:val="center"/>
        <w:rPr>
          <w:rFonts w:asciiTheme="majorHAnsi" w:hAnsiTheme="majorHAnsi" w:cstheme="majorHAnsi"/>
          <w:sz w:val="22"/>
          <w:szCs w:val="22"/>
          <w:lang w:val="en-GB"/>
        </w:rPr>
      </w:pPr>
      <w:r w:rsidRPr="0023485C">
        <w:rPr>
          <w:rFonts w:asciiTheme="majorHAnsi" w:hAnsiTheme="majorHAnsi" w:cstheme="majorHAnsi"/>
          <w:b/>
          <w:noProof/>
          <w:sz w:val="22"/>
          <w:szCs w:val="22"/>
          <w:lang w:val="en-GB" w:eastAsia="ko-KR"/>
        </w:rPr>
        <w:drawing>
          <wp:inline distT="0" distB="0" distL="0" distR="0" wp14:anchorId="1E246AC0" wp14:editId="762019B8">
            <wp:extent cx="5714408" cy="3086100"/>
            <wp:effectExtent l="0" t="0" r="635" b="0"/>
            <wp:docPr id="3" name="Picture 3" descr="Macintosh HD:Users:rdvkrcy:Desktop:Screen Shot 2018-06-03 at 18.4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dvkrcy:Desktop:Screen Shot 2018-06-03 at 18.41.1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6322" cy="3087133"/>
                    </a:xfrm>
                    <a:prstGeom prst="rect">
                      <a:avLst/>
                    </a:prstGeom>
                    <a:noFill/>
                    <a:ln>
                      <a:noFill/>
                    </a:ln>
                  </pic:spPr>
                </pic:pic>
              </a:graphicData>
            </a:graphic>
          </wp:inline>
        </w:drawing>
      </w:r>
    </w:p>
    <w:p w14:paraId="5631AE98" w14:textId="5F66393A" w:rsidR="002468E0" w:rsidRPr="00E36957" w:rsidRDefault="002468E0" w:rsidP="00E36957">
      <w:pPr>
        <w:keepNext/>
        <w:widowControl w:val="0"/>
        <w:autoSpaceDE w:val="0"/>
        <w:autoSpaceDN w:val="0"/>
        <w:adjustRightInd w:val="0"/>
        <w:spacing w:after="160" w:line="259" w:lineRule="auto"/>
        <w:jc w:val="center"/>
        <w:rPr>
          <w:rFonts w:asciiTheme="majorHAnsi" w:hAnsiTheme="majorHAnsi" w:cstheme="majorHAnsi"/>
          <w:sz w:val="22"/>
          <w:szCs w:val="22"/>
          <w:lang w:val="en-GB"/>
        </w:rPr>
      </w:pPr>
      <w:r w:rsidRPr="00E36957">
        <w:rPr>
          <w:rFonts w:asciiTheme="majorHAnsi" w:hAnsiTheme="majorHAnsi" w:cstheme="majorHAnsi"/>
          <w:sz w:val="22"/>
          <w:szCs w:val="22"/>
          <w:lang w:val="en-GB"/>
        </w:rPr>
        <w:t xml:space="preserve">Figure </w:t>
      </w:r>
      <w:r w:rsidRPr="00E36957">
        <w:rPr>
          <w:rFonts w:asciiTheme="majorHAnsi" w:hAnsiTheme="majorHAnsi" w:cstheme="majorHAnsi"/>
          <w:sz w:val="22"/>
          <w:szCs w:val="22"/>
          <w:lang w:val="en-GB"/>
        </w:rPr>
        <w:fldChar w:fldCharType="begin"/>
      </w:r>
      <w:r w:rsidRPr="00E36957">
        <w:rPr>
          <w:rFonts w:asciiTheme="majorHAnsi" w:hAnsiTheme="majorHAnsi" w:cstheme="majorHAnsi"/>
          <w:sz w:val="22"/>
          <w:szCs w:val="22"/>
          <w:lang w:val="en-GB"/>
        </w:rPr>
        <w:instrText xml:space="preserve"> SEQ Figure \* ARABIC </w:instrText>
      </w:r>
      <w:r w:rsidRPr="00E36957">
        <w:rPr>
          <w:rFonts w:asciiTheme="majorHAnsi" w:hAnsiTheme="majorHAnsi" w:cstheme="majorHAnsi"/>
          <w:sz w:val="22"/>
          <w:szCs w:val="22"/>
          <w:lang w:val="en-GB"/>
        </w:rPr>
        <w:fldChar w:fldCharType="separate"/>
      </w:r>
      <w:r w:rsidR="001A10C5" w:rsidRPr="00E36957">
        <w:rPr>
          <w:rFonts w:asciiTheme="majorHAnsi" w:hAnsiTheme="majorHAnsi" w:cstheme="majorHAnsi"/>
          <w:noProof/>
          <w:sz w:val="22"/>
          <w:szCs w:val="22"/>
          <w:lang w:val="en-GB"/>
        </w:rPr>
        <w:t>1</w:t>
      </w:r>
      <w:r w:rsidRPr="00E36957">
        <w:rPr>
          <w:rFonts w:asciiTheme="majorHAnsi" w:hAnsiTheme="majorHAnsi" w:cstheme="majorHAnsi"/>
          <w:sz w:val="22"/>
          <w:szCs w:val="22"/>
          <w:lang w:val="en-GB"/>
        </w:rPr>
        <w:fldChar w:fldCharType="end"/>
      </w:r>
      <w:r w:rsidRPr="00E36957">
        <w:rPr>
          <w:rFonts w:asciiTheme="majorHAnsi" w:hAnsiTheme="majorHAnsi" w:cstheme="majorHAnsi"/>
          <w:sz w:val="22"/>
          <w:szCs w:val="22"/>
          <w:lang w:val="en-GB"/>
        </w:rPr>
        <w:t xml:space="preserve">: Eleven Components of port sustainability Source: </w:t>
      </w:r>
      <w:proofErr w:type="spellStart"/>
      <w:r w:rsidRPr="00E36957">
        <w:rPr>
          <w:rFonts w:asciiTheme="majorHAnsi" w:hAnsiTheme="majorHAnsi" w:cstheme="majorHAnsi"/>
          <w:sz w:val="22"/>
          <w:szCs w:val="22"/>
          <w:lang w:val="en-GB"/>
        </w:rPr>
        <w:t>Kuznetsov</w:t>
      </w:r>
      <w:proofErr w:type="spellEnd"/>
      <w:r w:rsidRPr="00E36957">
        <w:rPr>
          <w:rFonts w:asciiTheme="majorHAnsi" w:hAnsiTheme="majorHAnsi" w:cstheme="majorHAnsi"/>
          <w:sz w:val="22"/>
          <w:szCs w:val="22"/>
          <w:lang w:val="en-GB"/>
        </w:rPr>
        <w:t>, 2014 p.161.</w:t>
      </w:r>
    </w:p>
    <w:p w14:paraId="4B03D795" w14:textId="409549AD" w:rsidR="002468E0" w:rsidRDefault="002468E0" w:rsidP="00E36957">
      <w:pPr>
        <w:widowControl w:val="0"/>
        <w:autoSpaceDE w:val="0"/>
        <w:autoSpaceDN w:val="0"/>
        <w:adjustRightInd w:val="0"/>
        <w:spacing w:line="259" w:lineRule="auto"/>
        <w:jc w:val="both"/>
        <w:rPr>
          <w:rFonts w:asciiTheme="majorHAnsi" w:hAnsiTheme="majorHAnsi" w:cstheme="majorHAnsi"/>
          <w:sz w:val="22"/>
          <w:szCs w:val="22"/>
          <w:lang w:val="en-GB"/>
        </w:rPr>
      </w:pPr>
      <w:r w:rsidRPr="0023485C">
        <w:rPr>
          <w:rFonts w:asciiTheme="majorHAnsi" w:hAnsiTheme="majorHAnsi" w:cstheme="majorHAnsi"/>
          <w:sz w:val="22"/>
          <w:szCs w:val="22"/>
          <w:lang w:val="en-GB"/>
        </w:rPr>
        <w:t xml:space="preserve">PSMS </w:t>
      </w:r>
      <w:r>
        <w:rPr>
          <w:rFonts w:asciiTheme="majorHAnsi" w:hAnsiTheme="majorHAnsi" w:cstheme="majorHAnsi"/>
          <w:sz w:val="22"/>
          <w:szCs w:val="22"/>
          <w:lang w:val="en-GB"/>
        </w:rPr>
        <w:t>invites</w:t>
      </w:r>
      <w:r w:rsidRPr="0023485C">
        <w:rPr>
          <w:rFonts w:asciiTheme="majorHAnsi" w:hAnsiTheme="majorHAnsi" w:cstheme="majorHAnsi"/>
          <w:sz w:val="22"/>
          <w:szCs w:val="22"/>
          <w:lang w:val="en-GB"/>
        </w:rPr>
        <w:t xml:space="preserve"> harbour masters to </w:t>
      </w:r>
      <w:r>
        <w:rPr>
          <w:rFonts w:asciiTheme="majorHAnsi" w:hAnsiTheme="majorHAnsi" w:cstheme="majorHAnsi"/>
          <w:sz w:val="22"/>
          <w:szCs w:val="22"/>
          <w:lang w:val="en-GB"/>
        </w:rPr>
        <w:t xml:space="preserve">select </w:t>
      </w:r>
      <w:r w:rsidRPr="0023485C">
        <w:rPr>
          <w:rFonts w:asciiTheme="majorHAnsi" w:hAnsiTheme="majorHAnsi" w:cstheme="majorHAnsi"/>
          <w:sz w:val="22"/>
          <w:szCs w:val="22"/>
          <w:lang w:val="en-GB"/>
        </w:rPr>
        <w:t xml:space="preserve">scores </w:t>
      </w:r>
      <w:r>
        <w:rPr>
          <w:rFonts w:asciiTheme="majorHAnsi" w:hAnsiTheme="majorHAnsi" w:cstheme="majorHAnsi"/>
          <w:sz w:val="22"/>
          <w:szCs w:val="22"/>
          <w:lang w:val="en-GB"/>
        </w:rPr>
        <w:t>to rate</w:t>
      </w:r>
      <w:r w:rsidRPr="0023485C">
        <w:rPr>
          <w:rFonts w:asciiTheme="majorHAnsi" w:hAnsiTheme="majorHAnsi" w:cstheme="majorHAnsi"/>
          <w:sz w:val="22"/>
          <w:szCs w:val="22"/>
          <w:lang w:val="en-GB"/>
        </w:rPr>
        <w:t xml:space="preserve"> the</w:t>
      </w:r>
      <w:r>
        <w:rPr>
          <w:rFonts w:asciiTheme="majorHAnsi" w:hAnsiTheme="majorHAnsi" w:cstheme="majorHAnsi"/>
          <w:sz w:val="22"/>
          <w:szCs w:val="22"/>
          <w:lang w:val="en-GB"/>
        </w:rPr>
        <w:t xml:space="preserve"> sustainability of their</w:t>
      </w:r>
      <w:r w:rsidRPr="0023485C">
        <w:rPr>
          <w:rFonts w:asciiTheme="majorHAnsi" w:hAnsiTheme="majorHAnsi" w:cstheme="majorHAnsi"/>
          <w:sz w:val="22"/>
          <w:szCs w:val="22"/>
          <w:lang w:val="en-GB"/>
        </w:rPr>
        <w:t xml:space="preserve"> organisation after </w:t>
      </w:r>
      <w:r>
        <w:rPr>
          <w:rFonts w:asciiTheme="majorHAnsi" w:hAnsiTheme="majorHAnsi" w:cstheme="majorHAnsi"/>
          <w:sz w:val="22"/>
          <w:szCs w:val="22"/>
          <w:lang w:val="en-GB"/>
        </w:rPr>
        <w:t xml:space="preserve">undertaking a self-evaluation procedure using a </w:t>
      </w:r>
      <w:r w:rsidRPr="0023485C">
        <w:rPr>
          <w:rFonts w:asciiTheme="majorHAnsi" w:hAnsiTheme="majorHAnsi" w:cstheme="majorHAnsi"/>
          <w:sz w:val="22"/>
          <w:szCs w:val="22"/>
          <w:lang w:val="en-GB"/>
        </w:rPr>
        <w:t>bulls-eye chart</w:t>
      </w:r>
      <w:r>
        <w:rPr>
          <w:rFonts w:asciiTheme="majorHAnsi" w:hAnsiTheme="majorHAnsi" w:cstheme="majorHAnsi"/>
          <w:sz w:val="22"/>
          <w:szCs w:val="22"/>
          <w:lang w:val="en-GB"/>
        </w:rPr>
        <w:t xml:space="preserve"> (</w:t>
      </w:r>
      <w:r w:rsidRPr="0023485C">
        <w:rPr>
          <w:rFonts w:asciiTheme="majorHAnsi" w:hAnsiTheme="majorHAnsi" w:cstheme="majorHAnsi"/>
          <w:sz w:val="22"/>
          <w:szCs w:val="22"/>
          <w:lang w:val="en-GB"/>
        </w:rPr>
        <w:t>Figure 2</w:t>
      </w:r>
      <w:r>
        <w:rPr>
          <w:rFonts w:asciiTheme="majorHAnsi" w:hAnsiTheme="majorHAnsi" w:cstheme="majorHAnsi"/>
          <w:sz w:val="22"/>
          <w:szCs w:val="22"/>
          <w:lang w:val="en-GB"/>
        </w:rPr>
        <w:t>)</w:t>
      </w:r>
      <w:r w:rsidRPr="0023485C">
        <w:rPr>
          <w:rFonts w:asciiTheme="majorHAnsi" w:hAnsiTheme="majorHAnsi" w:cstheme="majorHAnsi"/>
          <w:sz w:val="22"/>
          <w:szCs w:val="22"/>
          <w:lang w:val="en-GB"/>
        </w:rPr>
        <w:t xml:space="preserve">. This chart </w:t>
      </w:r>
      <w:r>
        <w:rPr>
          <w:rFonts w:asciiTheme="majorHAnsi" w:hAnsiTheme="majorHAnsi" w:cstheme="majorHAnsi"/>
          <w:sz w:val="22"/>
          <w:szCs w:val="22"/>
          <w:lang w:val="en-GB"/>
        </w:rPr>
        <w:t>assists</w:t>
      </w:r>
      <w:r w:rsidR="00F81D8E">
        <w:rPr>
          <w:rFonts w:asciiTheme="majorHAnsi" w:hAnsiTheme="majorHAnsi" w:cstheme="majorHAnsi"/>
          <w:sz w:val="22"/>
          <w:szCs w:val="22"/>
          <w:lang w:val="en-GB"/>
        </w:rPr>
        <w:t xml:space="preserve"> harbour master</w:t>
      </w:r>
      <w:r w:rsidRPr="0023485C">
        <w:rPr>
          <w:rFonts w:asciiTheme="majorHAnsi" w:hAnsiTheme="majorHAnsi" w:cstheme="majorHAnsi"/>
          <w:sz w:val="22"/>
          <w:szCs w:val="22"/>
          <w:lang w:val="en-GB"/>
        </w:rPr>
        <w:t xml:space="preserve">s to </w:t>
      </w:r>
      <w:r>
        <w:rPr>
          <w:rFonts w:asciiTheme="majorHAnsi" w:hAnsiTheme="majorHAnsi" w:cstheme="majorHAnsi"/>
          <w:sz w:val="22"/>
          <w:szCs w:val="22"/>
          <w:lang w:val="en-GB"/>
        </w:rPr>
        <w:t>assess</w:t>
      </w:r>
      <w:r w:rsidRPr="0023485C">
        <w:rPr>
          <w:rFonts w:asciiTheme="majorHAnsi" w:hAnsiTheme="majorHAnsi" w:cstheme="majorHAnsi"/>
          <w:sz w:val="22"/>
          <w:szCs w:val="22"/>
          <w:lang w:val="en-GB"/>
        </w:rPr>
        <w:t xml:space="preserve"> their organisation’s current situation and the areas that need to be improved. </w:t>
      </w:r>
      <w:r>
        <w:rPr>
          <w:rFonts w:asciiTheme="majorHAnsi" w:hAnsiTheme="majorHAnsi" w:cstheme="majorHAnsi"/>
          <w:sz w:val="22"/>
          <w:szCs w:val="22"/>
          <w:lang w:val="en-GB"/>
        </w:rPr>
        <w:lastRenderedPageBreak/>
        <w:t>H</w:t>
      </w:r>
      <w:r w:rsidRPr="0023485C">
        <w:rPr>
          <w:rFonts w:asciiTheme="majorHAnsi" w:hAnsiTheme="majorHAnsi" w:cstheme="majorHAnsi"/>
          <w:sz w:val="22"/>
          <w:szCs w:val="22"/>
          <w:lang w:val="en-GB"/>
        </w:rPr>
        <w:t xml:space="preserve">arbour masters can </w:t>
      </w:r>
      <w:r>
        <w:rPr>
          <w:rFonts w:asciiTheme="majorHAnsi" w:hAnsiTheme="majorHAnsi" w:cstheme="majorHAnsi"/>
          <w:sz w:val="22"/>
          <w:szCs w:val="22"/>
          <w:lang w:val="en-GB"/>
        </w:rPr>
        <w:t>review</w:t>
      </w:r>
      <w:r w:rsidRPr="0023485C">
        <w:rPr>
          <w:rFonts w:asciiTheme="majorHAnsi" w:hAnsiTheme="majorHAnsi" w:cstheme="majorHAnsi"/>
          <w:sz w:val="22"/>
          <w:szCs w:val="22"/>
          <w:lang w:val="en-GB"/>
        </w:rPr>
        <w:t xml:space="preserve"> </w:t>
      </w:r>
      <w:r>
        <w:rPr>
          <w:rFonts w:asciiTheme="majorHAnsi" w:hAnsiTheme="majorHAnsi" w:cstheme="majorHAnsi"/>
          <w:sz w:val="22"/>
          <w:szCs w:val="22"/>
          <w:lang w:val="en-GB"/>
        </w:rPr>
        <w:t xml:space="preserve">previous </w:t>
      </w:r>
      <w:r w:rsidRPr="0023485C">
        <w:rPr>
          <w:rFonts w:asciiTheme="majorHAnsi" w:hAnsiTheme="majorHAnsi" w:cstheme="majorHAnsi"/>
          <w:sz w:val="22"/>
          <w:szCs w:val="22"/>
          <w:lang w:val="en-GB"/>
        </w:rPr>
        <w:t xml:space="preserve">charts to </w:t>
      </w:r>
      <w:r>
        <w:rPr>
          <w:rFonts w:asciiTheme="majorHAnsi" w:hAnsiTheme="majorHAnsi" w:cstheme="majorHAnsi"/>
          <w:sz w:val="22"/>
          <w:szCs w:val="22"/>
          <w:lang w:val="en-GB"/>
        </w:rPr>
        <w:t xml:space="preserve">check for on-going </w:t>
      </w:r>
      <w:r w:rsidRPr="0023485C">
        <w:rPr>
          <w:rFonts w:asciiTheme="majorHAnsi" w:hAnsiTheme="majorHAnsi" w:cstheme="majorHAnsi"/>
          <w:sz w:val="22"/>
          <w:szCs w:val="22"/>
          <w:lang w:val="en-GB"/>
        </w:rPr>
        <w:t>improvement</w:t>
      </w:r>
      <w:r>
        <w:rPr>
          <w:rFonts w:asciiTheme="majorHAnsi" w:hAnsiTheme="majorHAnsi" w:cstheme="majorHAnsi"/>
          <w:sz w:val="22"/>
          <w:szCs w:val="22"/>
          <w:lang w:val="en-GB"/>
        </w:rPr>
        <w:t xml:space="preserve">s. </w:t>
      </w:r>
      <w:r w:rsidRPr="0023485C">
        <w:rPr>
          <w:rFonts w:asciiTheme="majorHAnsi" w:hAnsiTheme="majorHAnsi" w:cstheme="majorHAnsi"/>
          <w:sz w:val="22"/>
          <w:szCs w:val="22"/>
          <w:lang w:val="en-GB"/>
        </w:rPr>
        <w:t>In this way PSMS</w:t>
      </w:r>
      <w:r>
        <w:rPr>
          <w:rFonts w:asciiTheme="majorHAnsi" w:hAnsiTheme="majorHAnsi" w:cstheme="majorHAnsi"/>
          <w:sz w:val="22"/>
          <w:szCs w:val="22"/>
          <w:lang w:val="en-GB"/>
        </w:rPr>
        <w:t xml:space="preserve"> charts</w:t>
      </w:r>
      <w:r w:rsidRPr="0023485C">
        <w:rPr>
          <w:rFonts w:asciiTheme="majorHAnsi" w:hAnsiTheme="majorHAnsi" w:cstheme="majorHAnsi"/>
          <w:sz w:val="22"/>
          <w:szCs w:val="22"/>
          <w:lang w:val="en-GB"/>
        </w:rPr>
        <w:t xml:space="preserve"> an endless circle of development for harbour masters. </w:t>
      </w:r>
    </w:p>
    <w:p w14:paraId="3A3847CB" w14:textId="77777777" w:rsidR="00E36957" w:rsidRPr="00E36957" w:rsidRDefault="00E36957" w:rsidP="00E36957">
      <w:pPr>
        <w:widowControl w:val="0"/>
        <w:autoSpaceDE w:val="0"/>
        <w:autoSpaceDN w:val="0"/>
        <w:adjustRightInd w:val="0"/>
        <w:spacing w:line="259" w:lineRule="auto"/>
        <w:jc w:val="both"/>
        <w:rPr>
          <w:rFonts w:asciiTheme="majorHAnsi" w:hAnsiTheme="majorHAnsi" w:cstheme="majorHAnsi"/>
          <w:sz w:val="16"/>
          <w:szCs w:val="22"/>
          <w:lang w:val="en-GB"/>
        </w:rPr>
      </w:pPr>
    </w:p>
    <w:p w14:paraId="74AF7987" w14:textId="4771D6FD" w:rsidR="001A10C5" w:rsidRDefault="00430A9F" w:rsidP="00EC5AF4">
      <w:pPr>
        <w:keepNext/>
        <w:widowControl w:val="0"/>
        <w:autoSpaceDE w:val="0"/>
        <w:autoSpaceDN w:val="0"/>
        <w:adjustRightInd w:val="0"/>
        <w:spacing w:after="160" w:line="259" w:lineRule="auto"/>
        <w:jc w:val="both"/>
      </w:pPr>
      <w:r>
        <w:rPr>
          <w:noProof/>
          <w:lang w:val="en-GB" w:eastAsia="ko-KR"/>
        </w:rPr>
        <w:drawing>
          <wp:inline distT="0" distB="0" distL="0" distR="0" wp14:anchorId="5F1EBB33" wp14:editId="1DFF3C01">
            <wp:extent cx="5753100" cy="4113530"/>
            <wp:effectExtent l="0" t="0" r="12700" b="1270"/>
            <wp:docPr id="4" name="Picture 4" descr="Macintosh HD:Users:rdvkrcy:Desktop:Screen Shot 2018-06-21 at 02.04.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dvkrcy:Desktop:Screen Shot 2018-06-21 at 02.04.3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4113530"/>
                    </a:xfrm>
                    <a:prstGeom prst="rect">
                      <a:avLst/>
                    </a:prstGeom>
                    <a:noFill/>
                    <a:ln>
                      <a:noFill/>
                    </a:ln>
                  </pic:spPr>
                </pic:pic>
              </a:graphicData>
            </a:graphic>
          </wp:inline>
        </w:drawing>
      </w:r>
    </w:p>
    <w:p w14:paraId="117E4F37" w14:textId="77777777" w:rsidR="00E36957" w:rsidRDefault="00E36957" w:rsidP="00E36957">
      <w:pPr>
        <w:pStyle w:val="Caption"/>
        <w:spacing w:after="160" w:line="259" w:lineRule="auto"/>
        <w:jc w:val="center"/>
        <w:rPr>
          <w:rFonts w:ascii="Calibri" w:hAnsi="Calibri"/>
          <w:b w:val="0"/>
          <w:color w:val="auto"/>
          <w:sz w:val="22"/>
          <w:szCs w:val="22"/>
        </w:rPr>
      </w:pPr>
    </w:p>
    <w:p w14:paraId="4B63C07C" w14:textId="63C180FD" w:rsidR="001A10C5" w:rsidRDefault="001A10C5" w:rsidP="00E36957">
      <w:pPr>
        <w:pStyle w:val="Caption"/>
        <w:spacing w:after="160" w:line="259" w:lineRule="auto"/>
        <w:jc w:val="center"/>
        <w:rPr>
          <w:rFonts w:ascii="Calibri" w:hAnsi="Calibri"/>
          <w:b w:val="0"/>
          <w:color w:val="auto"/>
          <w:sz w:val="22"/>
          <w:szCs w:val="22"/>
        </w:rPr>
      </w:pPr>
      <w:r w:rsidRPr="00E36957">
        <w:rPr>
          <w:rFonts w:ascii="Calibri" w:hAnsi="Calibri"/>
          <w:b w:val="0"/>
          <w:color w:val="auto"/>
          <w:sz w:val="22"/>
          <w:szCs w:val="22"/>
        </w:rPr>
        <w:t xml:space="preserve">Figure </w:t>
      </w:r>
      <w:r w:rsidRPr="00E36957">
        <w:rPr>
          <w:rFonts w:ascii="Calibri" w:hAnsi="Calibri"/>
          <w:b w:val="0"/>
          <w:color w:val="auto"/>
          <w:sz w:val="22"/>
          <w:szCs w:val="22"/>
        </w:rPr>
        <w:fldChar w:fldCharType="begin"/>
      </w:r>
      <w:r w:rsidRPr="00E36957">
        <w:rPr>
          <w:rFonts w:ascii="Calibri" w:hAnsi="Calibri"/>
          <w:b w:val="0"/>
          <w:color w:val="auto"/>
          <w:sz w:val="22"/>
          <w:szCs w:val="22"/>
        </w:rPr>
        <w:instrText xml:space="preserve"> SEQ Figure \* ARABIC </w:instrText>
      </w:r>
      <w:r w:rsidRPr="00E36957">
        <w:rPr>
          <w:rFonts w:ascii="Calibri" w:hAnsi="Calibri"/>
          <w:b w:val="0"/>
          <w:color w:val="auto"/>
          <w:sz w:val="22"/>
          <w:szCs w:val="22"/>
        </w:rPr>
        <w:fldChar w:fldCharType="separate"/>
      </w:r>
      <w:r w:rsidRPr="00E36957">
        <w:rPr>
          <w:rFonts w:ascii="Calibri" w:hAnsi="Calibri"/>
          <w:b w:val="0"/>
          <w:noProof/>
          <w:color w:val="auto"/>
          <w:sz w:val="22"/>
          <w:szCs w:val="22"/>
        </w:rPr>
        <w:t>2</w:t>
      </w:r>
      <w:r w:rsidRPr="00E36957">
        <w:rPr>
          <w:rFonts w:ascii="Calibri" w:hAnsi="Calibri"/>
          <w:b w:val="0"/>
          <w:color w:val="auto"/>
          <w:sz w:val="22"/>
          <w:szCs w:val="22"/>
        </w:rPr>
        <w:fldChar w:fldCharType="end"/>
      </w:r>
      <w:r w:rsidRPr="00E36957">
        <w:rPr>
          <w:rFonts w:ascii="Calibri" w:hAnsi="Calibri"/>
          <w:b w:val="0"/>
          <w:color w:val="auto"/>
          <w:sz w:val="22"/>
          <w:szCs w:val="22"/>
        </w:rPr>
        <w:t xml:space="preserve">: PSMS v5 Source: </w:t>
      </w:r>
      <w:proofErr w:type="spellStart"/>
      <w:r w:rsidRPr="00E36957">
        <w:rPr>
          <w:rFonts w:ascii="Calibri" w:hAnsi="Calibri"/>
          <w:b w:val="0"/>
          <w:color w:val="auto"/>
          <w:sz w:val="22"/>
          <w:szCs w:val="22"/>
        </w:rPr>
        <w:t>Kuznetsov</w:t>
      </w:r>
      <w:proofErr w:type="spellEnd"/>
      <w:r w:rsidRPr="00E36957">
        <w:rPr>
          <w:rFonts w:ascii="Calibri" w:hAnsi="Calibri"/>
          <w:b w:val="0"/>
          <w:color w:val="auto"/>
          <w:sz w:val="22"/>
          <w:szCs w:val="22"/>
        </w:rPr>
        <w:t>, 2014, p.398.</w:t>
      </w:r>
    </w:p>
    <w:p w14:paraId="408259F2" w14:textId="77777777" w:rsidR="00E36957" w:rsidRPr="00E36957" w:rsidRDefault="00E36957" w:rsidP="00E36957"/>
    <w:tbl>
      <w:tblPr>
        <w:tblStyle w:val="TableGrid"/>
        <w:tblW w:w="8943" w:type="dxa"/>
        <w:tblLook w:val="04A0" w:firstRow="1" w:lastRow="0" w:firstColumn="1" w:lastColumn="0" w:noHBand="0" w:noVBand="1"/>
      </w:tblPr>
      <w:tblGrid>
        <w:gridCol w:w="1469"/>
        <w:gridCol w:w="6286"/>
        <w:gridCol w:w="1188"/>
      </w:tblGrid>
      <w:tr w:rsidR="001A10C5" w14:paraId="0BD72A33" w14:textId="77777777" w:rsidTr="00E36957">
        <w:trPr>
          <w:trHeight w:val="383"/>
        </w:trPr>
        <w:tc>
          <w:tcPr>
            <w:tcW w:w="1469" w:type="dxa"/>
          </w:tcPr>
          <w:p w14:paraId="1C22C44D" w14:textId="7C3B4CF4" w:rsidR="001A10C5" w:rsidRPr="00334126" w:rsidRDefault="001A10C5" w:rsidP="00E36957">
            <w:pPr>
              <w:rPr>
                <w:rFonts w:ascii="Calibri" w:hAnsi="Calibri"/>
                <w:b/>
                <w:sz w:val="22"/>
                <w:szCs w:val="22"/>
              </w:rPr>
            </w:pPr>
            <w:r w:rsidRPr="00334126">
              <w:rPr>
                <w:rFonts w:ascii="Calibri" w:hAnsi="Calibri"/>
                <w:b/>
                <w:sz w:val="22"/>
                <w:szCs w:val="22"/>
              </w:rPr>
              <w:t>Acronym</w:t>
            </w:r>
          </w:p>
        </w:tc>
        <w:tc>
          <w:tcPr>
            <w:tcW w:w="6286" w:type="dxa"/>
          </w:tcPr>
          <w:p w14:paraId="7CD17A70" w14:textId="10A3AAA1" w:rsidR="001A10C5" w:rsidRPr="00334126" w:rsidRDefault="001A10C5" w:rsidP="00E36957">
            <w:pPr>
              <w:rPr>
                <w:rFonts w:ascii="Calibri" w:hAnsi="Calibri"/>
                <w:b/>
                <w:sz w:val="22"/>
                <w:szCs w:val="22"/>
              </w:rPr>
            </w:pPr>
            <w:r w:rsidRPr="00334126">
              <w:rPr>
                <w:rFonts w:ascii="Calibri" w:hAnsi="Calibri"/>
                <w:b/>
                <w:sz w:val="22"/>
                <w:szCs w:val="22"/>
              </w:rPr>
              <w:t>Description</w:t>
            </w:r>
          </w:p>
        </w:tc>
        <w:tc>
          <w:tcPr>
            <w:tcW w:w="1188" w:type="dxa"/>
          </w:tcPr>
          <w:p w14:paraId="0B530AEF" w14:textId="71D5AAA4" w:rsidR="001A10C5" w:rsidRPr="00334126" w:rsidRDefault="001A10C5" w:rsidP="00E36957">
            <w:pPr>
              <w:rPr>
                <w:rFonts w:ascii="Calibri" w:hAnsi="Calibri"/>
                <w:b/>
                <w:sz w:val="22"/>
                <w:szCs w:val="22"/>
              </w:rPr>
            </w:pPr>
            <w:r w:rsidRPr="00334126">
              <w:rPr>
                <w:rFonts w:ascii="Calibri" w:hAnsi="Calibri"/>
                <w:b/>
                <w:sz w:val="22"/>
                <w:szCs w:val="22"/>
              </w:rPr>
              <w:t>Score</w:t>
            </w:r>
          </w:p>
        </w:tc>
      </w:tr>
      <w:tr w:rsidR="001A10C5" w14:paraId="5C2F4DBF" w14:textId="77777777" w:rsidTr="00E36957">
        <w:trPr>
          <w:trHeight w:val="383"/>
        </w:trPr>
        <w:tc>
          <w:tcPr>
            <w:tcW w:w="1469" w:type="dxa"/>
          </w:tcPr>
          <w:p w14:paraId="587AA2EB" w14:textId="0A041E03" w:rsidR="001A10C5" w:rsidRPr="00334126" w:rsidRDefault="001A10C5" w:rsidP="00E36957">
            <w:pPr>
              <w:rPr>
                <w:rFonts w:ascii="Calibri" w:hAnsi="Calibri"/>
                <w:sz w:val="22"/>
                <w:szCs w:val="22"/>
              </w:rPr>
            </w:pPr>
            <w:r w:rsidRPr="00334126">
              <w:rPr>
                <w:rFonts w:ascii="Calibri" w:hAnsi="Calibri"/>
                <w:sz w:val="22"/>
                <w:szCs w:val="22"/>
              </w:rPr>
              <w:t>AMM</w:t>
            </w:r>
          </w:p>
        </w:tc>
        <w:tc>
          <w:tcPr>
            <w:tcW w:w="6286" w:type="dxa"/>
          </w:tcPr>
          <w:p w14:paraId="73C8FAA4" w14:textId="2D0052B6" w:rsidR="001A10C5" w:rsidRPr="00334126" w:rsidRDefault="001A10C5" w:rsidP="00E36957">
            <w:pPr>
              <w:rPr>
                <w:rFonts w:ascii="Calibri" w:hAnsi="Calibri"/>
                <w:sz w:val="22"/>
                <w:szCs w:val="22"/>
              </w:rPr>
            </w:pPr>
            <w:r w:rsidRPr="00334126">
              <w:rPr>
                <w:rFonts w:ascii="Calibri" w:hAnsi="Calibri"/>
                <w:sz w:val="22"/>
                <w:szCs w:val="22"/>
              </w:rPr>
              <w:t>Asset Management and Maintenance</w:t>
            </w:r>
          </w:p>
        </w:tc>
        <w:tc>
          <w:tcPr>
            <w:tcW w:w="1188" w:type="dxa"/>
          </w:tcPr>
          <w:p w14:paraId="00446DA7" w14:textId="77777777" w:rsidR="001A10C5" w:rsidRDefault="001A10C5" w:rsidP="00E36957"/>
        </w:tc>
      </w:tr>
      <w:tr w:rsidR="001A10C5" w14:paraId="341DEB58" w14:textId="77777777" w:rsidTr="00E36957">
        <w:trPr>
          <w:trHeight w:val="399"/>
        </w:trPr>
        <w:tc>
          <w:tcPr>
            <w:tcW w:w="1469" w:type="dxa"/>
          </w:tcPr>
          <w:p w14:paraId="1DC68D6E" w14:textId="5B0005D2" w:rsidR="001A10C5" w:rsidRPr="00334126" w:rsidRDefault="001A10C5" w:rsidP="00E36957">
            <w:pPr>
              <w:rPr>
                <w:rFonts w:ascii="Calibri" w:hAnsi="Calibri"/>
                <w:sz w:val="22"/>
                <w:szCs w:val="22"/>
              </w:rPr>
            </w:pPr>
            <w:r w:rsidRPr="00334126">
              <w:rPr>
                <w:rFonts w:ascii="Calibri" w:hAnsi="Calibri"/>
                <w:sz w:val="22"/>
                <w:szCs w:val="22"/>
              </w:rPr>
              <w:t>SM</w:t>
            </w:r>
          </w:p>
        </w:tc>
        <w:tc>
          <w:tcPr>
            <w:tcW w:w="6286" w:type="dxa"/>
          </w:tcPr>
          <w:p w14:paraId="652C6C2E" w14:textId="0071D0C9" w:rsidR="001A10C5" w:rsidRPr="00334126" w:rsidRDefault="001A10C5" w:rsidP="00E36957">
            <w:pPr>
              <w:rPr>
                <w:rFonts w:ascii="Calibri" w:hAnsi="Calibri"/>
                <w:sz w:val="22"/>
                <w:szCs w:val="22"/>
              </w:rPr>
            </w:pPr>
            <w:r w:rsidRPr="00334126">
              <w:rPr>
                <w:rFonts w:ascii="Calibri" w:hAnsi="Calibri"/>
                <w:sz w:val="22"/>
                <w:szCs w:val="22"/>
              </w:rPr>
              <w:t>Safety Management</w:t>
            </w:r>
          </w:p>
        </w:tc>
        <w:tc>
          <w:tcPr>
            <w:tcW w:w="1188" w:type="dxa"/>
          </w:tcPr>
          <w:p w14:paraId="743F1BE4" w14:textId="77777777" w:rsidR="001A10C5" w:rsidRDefault="001A10C5" w:rsidP="00E36957"/>
        </w:tc>
      </w:tr>
      <w:tr w:rsidR="001A10C5" w14:paraId="3193D2DA" w14:textId="77777777" w:rsidTr="00E36957">
        <w:trPr>
          <w:trHeight w:val="399"/>
        </w:trPr>
        <w:tc>
          <w:tcPr>
            <w:tcW w:w="1469" w:type="dxa"/>
          </w:tcPr>
          <w:p w14:paraId="7ADA6FFF" w14:textId="2AEC33FD" w:rsidR="001A10C5" w:rsidRPr="00334126" w:rsidRDefault="001A10C5" w:rsidP="00E36957">
            <w:pPr>
              <w:rPr>
                <w:rFonts w:ascii="Calibri" w:hAnsi="Calibri"/>
                <w:sz w:val="22"/>
                <w:szCs w:val="22"/>
              </w:rPr>
            </w:pPr>
            <w:r w:rsidRPr="00334126">
              <w:rPr>
                <w:rFonts w:ascii="Calibri" w:hAnsi="Calibri"/>
                <w:sz w:val="22"/>
                <w:szCs w:val="22"/>
              </w:rPr>
              <w:t>EKA</w:t>
            </w:r>
          </w:p>
        </w:tc>
        <w:tc>
          <w:tcPr>
            <w:tcW w:w="6286" w:type="dxa"/>
          </w:tcPr>
          <w:p w14:paraId="29079275" w14:textId="29635922" w:rsidR="001A10C5" w:rsidRPr="00334126" w:rsidRDefault="001A10C5" w:rsidP="00E36957">
            <w:pPr>
              <w:rPr>
                <w:rFonts w:ascii="Calibri" w:hAnsi="Calibri"/>
                <w:sz w:val="22"/>
                <w:szCs w:val="22"/>
              </w:rPr>
            </w:pPr>
            <w:r w:rsidRPr="00334126">
              <w:rPr>
                <w:rFonts w:ascii="Calibri" w:hAnsi="Calibri"/>
                <w:sz w:val="22"/>
                <w:szCs w:val="22"/>
              </w:rPr>
              <w:t>Environmental Knowledge and Awareness</w:t>
            </w:r>
          </w:p>
        </w:tc>
        <w:tc>
          <w:tcPr>
            <w:tcW w:w="1188" w:type="dxa"/>
          </w:tcPr>
          <w:p w14:paraId="228A600F" w14:textId="77777777" w:rsidR="001A10C5" w:rsidRDefault="001A10C5" w:rsidP="00E36957"/>
        </w:tc>
      </w:tr>
      <w:tr w:rsidR="001A10C5" w14:paraId="196005E5" w14:textId="77777777" w:rsidTr="00E36957">
        <w:trPr>
          <w:trHeight w:val="399"/>
        </w:trPr>
        <w:tc>
          <w:tcPr>
            <w:tcW w:w="1469" w:type="dxa"/>
          </w:tcPr>
          <w:p w14:paraId="0F0CBFE7" w14:textId="42933D90" w:rsidR="001A10C5" w:rsidRPr="00334126" w:rsidRDefault="001A10C5" w:rsidP="00E36957">
            <w:pPr>
              <w:rPr>
                <w:rFonts w:ascii="Calibri" w:hAnsi="Calibri"/>
                <w:sz w:val="22"/>
                <w:szCs w:val="22"/>
              </w:rPr>
            </w:pPr>
            <w:r w:rsidRPr="00334126">
              <w:rPr>
                <w:rFonts w:ascii="Calibri" w:hAnsi="Calibri"/>
                <w:sz w:val="22"/>
                <w:szCs w:val="22"/>
              </w:rPr>
              <w:t>EM</w:t>
            </w:r>
          </w:p>
        </w:tc>
        <w:tc>
          <w:tcPr>
            <w:tcW w:w="6286" w:type="dxa"/>
          </w:tcPr>
          <w:p w14:paraId="772AB810" w14:textId="635F23F9" w:rsidR="001A10C5" w:rsidRPr="00334126" w:rsidRDefault="001A10C5" w:rsidP="00E36957">
            <w:pPr>
              <w:rPr>
                <w:rFonts w:ascii="Calibri" w:hAnsi="Calibri"/>
                <w:sz w:val="22"/>
                <w:szCs w:val="22"/>
              </w:rPr>
            </w:pPr>
            <w:r w:rsidRPr="00334126">
              <w:rPr>
                <w:rFonts w:ascii="Calibri" w:hAnsi="Calibri"/>
                <w:sz w:val="22"/>
                <w:szCs w:val="22"/>
              </w:rPr>
              <w:t>Environmental Management</w:t>
            </w:r>
          </w:p>
        </w:tc>
        <w:tc>
          <w:tcPr>
            <w:tcW w:w="1188" w:type="dxa"/>
          </w:tcPr>
          <w:p w14:paraId="3CE43207" w14:textId="77777777" w:rsidR="001A10C5" w:rsidRDefault="001A10C5" w:rsidP="00E36957"/>
        </w:tc>
      </w:tr>
      <w:tr w:rsidR="001A10C5" w14:paraId="4BA3550C" w14:textId="77777777" w:rsidTr="00E36957">
        <w:trPr>
          <w:trHeight w:val="399"/>
        </w:trPr>
        <w:tc>
          <w:tcPr>
            <w:tcW w:w="1469" w:type="dxa"/>
          </w:tcPr>
          <w:p w14:paraId="13CEE362" w14:textId="25AD902F" w:rsidR="001A10C5" w:rsidRPr="00334126" w:rsidRDefault="001A10C5" w:rsidP="00E36957">
            <w:pPr>
              <w:rPr>
                <w:rFonts w:ascii="Calibri" w:hAnsi="Calibri"/>
                <w:sz w:val="22"/>
                <w:szCs w:val="22"/>
              </w:rPr>
            </w:pPr>
            <w:r w:rsidRPr="00334126">
              <w:rPr>
                <w:rFonts w:ascii="Calibri" w:hAnsi="Calibri"/>
                <w:sz w:val="22"/>
                <w:szCs w:val="22"/>
              </w:rPr>
              <w:t>SE</w:t>
            </w:r>
          </w:p>
        </w:tc>
        <w:tc>
          <w:tcPr>
            <w:tcW w:w="6286" w:type="dxa"/>
          </w:tcPr>
          <w:p w14:paraId="02F5DB21" w14:textId="53F3FCC2" w:rsidR="001A10C5" w:rsidRPr="00334126" w:rsidRDefault="001A10C5" w:rsidP="00E36957">
            <w:pPr>
              <w:rPr>
                <w:rFonts w:ascii="Calibri" w:hAnsi="Calibri"/>
                <w:sz w:val="22"/>
                <w:szCs w:val="22"/>
              </w:rPr>
            </w:pPr>
            <w:r w:rsidRPr="00334126">
              <w:rPr>
                <w:rFonts w:ascii="Calibri" w:hAnsi="Calibri"/>
                <w:sz w:val="22"/>
                <w:szCs w:val="22"/>
              </w:rPr>
              <w:t>Stakeholder Management</w:t>
            </w:r>
          </w:p>
        </w:tc>
        <w:tc>
          <w:tcPr>
            <w:tcW w:w="1188" w:type="dxa"/>
          </w:tcPr>
          <w:p w14:paraId="2CE44121" w14:textId="77777777" w:rsidR="001A10C5" w:rsidRDefault="001A10C5" w:rsidP="00E36957"/>
        </w:tc>
      </w:tr>
      <w:tr w:rsidR="001A10C5" w14:paraId="2310449D" w14:textId="77777777" w:rsidTr="00E36957">
        <w:trPr>
          <w:trHeight w:val="399"/>
        </w:trPr>
        <w:tc>
          <w:tcPr>
            <w:tcW w:w="1469" w:type="dxa"/>
          </w:tcPr>
          <w:p w14:paraId="540297D5" w14:textId="0E8130DF" w:rsidR="001A10C5" w:rsidRPr="00334126" w:rsidRDefault="001A10C5" w:rsidP="00E36957">
            <w:pPr>
              <w:rPr>
                <w:rFonts w:ascii="Calibri" w:hAnsi="Calibri"/>
                <w:sz w:val="22"/>
                <w:szCs w:val="22"/>
              </w:rPr>
            </w:pPr>
            <w:r w:rsidRPr="00334126">
              <w:rPr>
                <w:rFonts w:ascii="Calibri" w:hAnsi="Calibri"/>
                <w:sz w:val="22"/>
                <w:szCs w:val="22"/>
              </w:rPr>
              <w:t>BPM</w:t>
            </w:r>
          </w:p>
        </w:tc>
        <w:tc>
          <w:tcPr>
            <w:tcW w:w="6286" w:type="dxa"/>
          </w:tcPr>
          <w:p w14:paraId="0287A47E" w14:textId="05359F75" w:rsidR="001A10C5" w:rsidRPr="00334126" w:rsidRDefault="00334126" w:rsidP="00E36957">
            <w:pPr>
              <w:rPr>
                <w:rFonts w:ascii="Calibri" w:hAnsi="Calibri"/>
                <w:sz w:val="22"/>
                <w:szCs w:val="22"/>
              </w:rPr>
            </w:pPr>
            <w:r w:rsidRPr="00334126">
              <w:rPr>
                <w:rFonts w:ascii="Calibri" w:hAnsi="Calibri"/>
                <w:sz w:val="22"/>
                <w:szCs w:val="22"/>
              </w:rPr>
              <w:t>Business Planning and Management</w:t>
            </w:r>
          </w:p>
        </w:tc>
        <w:tc>
          <w:tcPr>
            <w:tcW w:w="1188" w:type="dxa"/>
          </w:tcPr>
          <w:p w14:paraId="28BE2EA5" w14:textId="77777777" w:rsidR="001A10C5" w:rsidRDefault="001A10C5" w:rsidP="00E36957"/>
        </w:tc>
      </w:tr>
      <w:tr w:rsidR="001A10C5" w14:paraId="567A24C4" w14:textId="77777777" w:rsidTr="00E36957">
        <w:trPr>
          <w:trHeight w:val="383"/>
        </w:trPr>
        <w:tc>
          <w:tcPr>
            <w:tcW w:w="1469" w:type="dxa"/>
          </w:tcPr>
          <w:p w14:paraId="42250F41" w14:textId="0D3C8DAB" w:rsidR="001A10C5" w:rsidRPr="00334126" w:rsidRDefault="001A10C5" w:rsidP="00E36957">
            <w:pPr>
              <w:rPr>
                <w:rFonts w:ascii="Calibri" w:hAnsi="Calibri"/>
                <w:sz w:val="22"/>
                <w:szCs w:val="22"/>
              </w:rPr>
            </w:pPr>
            <w:r w:rsidRPr="00334126">
              <w:rPr>
                <w:rFonts w:ascii="Calibri" w:hAnsi="Calibri"/>
                <w:sz w:val="22"/>
                <w:szCs w:val="22"/>
              </w:rPr>
              <w:t>EMP</w:t>
            </w:r>
          </w:p>
        </w:tc>
        <w:tc>
          <w:tcPr>
            <w:tcW w:w="6286" w:type="dxa"/>
          </w:tcPr>
          <w:p w14:paraId="22C710C0" w14:textId="7532FE61" w:rsidR="001A10C5" w:rsidRPr="00334126" w:rsidRDefault="00334126" w:rsidP="00E36957">
            <w:pPr>
              <w:rPr>
                <w:rFonts w:ascii="Calibri" w:hAnsi="Calibri"/>
                <w:sz w:val="22"/>
                <w:szCs w:val="22"/>
              </w:rPr>
            </w:pPr>
            <w:r w:rsidRPr="00334126">
              <w:rPr>
                <w:rFonts w:ascii="Calibri" w:hAnsi="Calibri"/>
                <w:sz w:val="22"/>
                <w:szCs w:val="22"/>
              </w:rPr>
              <w:t>Effectiveness of Management Processes</w:t>
            </w:r>
          </w:p>
        </w:tc>
        <w:tc>
          <w:tcPr>
            <w:tcW w:w="1188" w:type="dxa"/>
          </w:tcPr>
          <w:p w14:paraId="49DA4AF3" w14:textId="77777777" w:rsidR="001A10C5" w:rsidRDefault="001A10C5" w:rsidP="00E36957"/>
        </w:tc>
      </w:tr>
      <w:tr w:rsidR="001A10C5" w14:paraId="0AD45A8D" w14:textId="77777777" w:rsidTr="00E36957">
        <w:trPr>
          <w:trHeight w:val="399"/>
        </w:trPr>
        <w:tc>
          <w:tcPr>
            <w:tcW w:w="1469" w:type="dxa"/>
          </w:tcPr>
          <w:p w14:paraId="26E160E6" w14:textId="67138481" w:rsidR="001A10C5" w:rsidRPr="00334126" w:rsidRDefault="001A10C5" w:rsidP="00E36957">
            <w:pPr>
              <w:rPr>
                <w:rFonts w:ascii="Calibri" w:hAnsi="Calibri"/>
                <w:sz w:val="22"/>
                <w:szCs w:val="22"/>
              </w:rPr>
            </w:pPr>
            <w:r w:rsidRPr="00334126">
              <w:rPr>
                <w:rFonts w:ascii="Calibri" w:hAnsi="Calibri"/>
                <w:sz w:val="22"/>
                <w:szCs w:val="22"/>
              </w:rPr>
              <w:t>CSS</w:t>
            </w:r>
          </w:p>
        </w:tc>
        <w:tc>
          <w:tcPr>
            <w:tcW w:w="6286" w:type="dxa"/>
          </w:tcPr>
          <w:p w14:paraId="2F4F2E66" w14:textId="4055B5E4" w:rsidR="001A10C5" w:rsidRPr="00334126" w:rsidRDefault="00334126" w:rsidP="00E36957">
            <w:pPr>
              <w:rPr>
                <w:rFonts w:ascii="Calibri" w:hAnsi="Calibri"/>
                <w:sz w:val="22"/>
                <w:szCs w:val="22"/>
              </w:rPr>
            </w:pPr>
            <w:r w:rsidRPr="00334126">
              <w:rPr>
                <w:rFonts w:ascii="Calibri" w:hAnsi="Calibri"/>
                <w:sz w:val="22"/>
                <w:szCs w:val="22"/>
              </w:rPr>
              <w:t>Customer Service and Satisfaction</w:t>
            </w:r>
          </w:p>
        </w:tc>
        <w:tc>
          <w:tcPr>
            <w:tcW w:w="1188" w:type="dxa"/>
          </w:tcPr>
          <w:p w14:paraId="0BB3C68A" w14:textId="77777777" w:rsidR="001A10C5" w:rsidRDefault="001A10C5" w:rsidP="00E36957"/>
        </w:tc>
      </w:tr>
      <w:tr w:rsidR="001A10C5" w14:paraId="0CEBE515" w14:textId="77777777" w:rsidTr="00E36957">
        <w:trPr>
          <w:trHeight w:val="399"/>
        </w:trPr>
        <w:tc>
          <w:tcPr>
            <w:tcW w:w="1469" w:type="dxa"/>
          </w:tcPr>
          <w:p w14:paraId="0FA29277" w14:textId="72CF2938" w:rsidR="001A10C5" w:rsidRPr="00334126" w:rsidRDefault="001A10C5" w:rsidP="00E36957">
            <w:pPr>
              <w:rPr>
                <w:rFonts w:ascii="Calibri" w:hAnsi="Calibri"/>
                <w:sz w:val="22"/>
                <w:szCs w:val="22"/>
              </w:rPr>
            </w:pPr>
            <w:r w:rsidRPr="00334126">
              <w:rPr>
                <w:rFonts w:ascii="Calibri" w:hAnsi="Calibri"/>
                <w:sz w:val="22"/>
                <w:szCs w:val="22"/>
              </w:rPr>
              <w:t>PP</w:t>
            </w:r>
          </w:p>
        </w:tc>
        <w:tc>
          <w:tcPr>
            <w:tcW w:w="6286" w:type="dxa"/>
          </w:tcPr>
          <w:p w14:paraId="6AD99E65" w14:textId="5FF38F72" w:rsidR="001A10C5" w:rsidRPr="00334126" w:rsidRDefault="00334126" w:rsidP="00E36957">
            <w:pPr>
              <w:rPr>
                <w:rFonts w:ascii="Calibri" w:hAnsi="Calibri"/>
                <w:sz w:val="22"/>
                <w:szCs w:val="22"/>
              </w:rPr>
            </w:pPr>
            <w:r w:rsidRPr="00334126">
              <w:rPr>
                <w:rFonts w:ascii="Calibri" w:hAnsi="Calibri"/>
                <w:sz w:val="22"/>
                <w:szCs w:val="22"/>
              </w:rPr>
              <w:t>Proactive Partnerships</w:t>
            </w:r>
          </w:p>
        </w:tc>
        <w:tc>
          <w:tcPr>
            <w:tcW w:w="1188" w:type="dxa"/>
          </w:tcPr>
          <w:p w14:paraId="399E6740" w14:textId="77777777" w:rsidR="001A10C5" w:rsidRDefault="001A10C5" w:rsidP="00E36957"/>
        </w:tc>
      </w:tr>
      <w:tr w:rsidR="001A10C5" w14:paraId="643532C1" w14:textId="77777777" w:rsidTr="00E36957">
        <w:trPr>
          <w:trHeight w:val="399"/>
        </w:trPr>
        <w:tc>
          <w:tcPr>
            <w:tcW w:w="1469" w:type="dxa"/>
          </w:tcPr>
          <w:p w14:paraId="50C02082" w14:textId="106D39D0" w:rsidR="001A10C5" w:rsidRPr="00334126" w:rsidRDefault="001A10C5" w:rsidP="00E36957">
            <w:pPr>
              <w:rPr>
                <w:rFonts w:ascii="Calibri" w:hAnsi="Calibri"/>
                <w:sz w:val="22"/>
                <w:szCs w:val="22"/>
              </w:rPr>
            </w:pPr>
            <w:r w:rsidRPr="00334126">
              <w:rPr>
                <w:rFonts w:ascii="Calibri" w:hAnsi="Calibri"/>
                <w:sz w:val="22"/>
                <w:szCs w:val="22"/>
              </w:rPr>
              <w:t>CM</w:t>
            </w:r>
          </w:p>
        </w:tc>
        <w:tc>
          <w:tcPr>
            <w:tcW w:w="6286" w:type="dxa"/>
          </w:tcPr>
          <w:p w14:paraId="75ABF8CF" w14:textId="1DD2E088" w:rsidR="001A10C5" w:rsidRPr="00334126" w:rsidRDefault="00334126" w:rsidP="00E36957">
            <w:pPr>
              <w:rPr>
                <w:rFonts w:ascii="Calibri" w:hAnsi="Calibri"/>
                <w:sz w:val="22"/>
                <w:szCs w:val="22"/>
              </w:rPr>
            </w:pPr>
            <w:r w:rsidRPr="00334126">
              <w:rPr>
                <w:rFonts w:ascii="Calibri" w:hAnsi="Calibri"/>
                <w:sz w:val="22"/>
                <w:szCs w:val="22"/>
              </w:rPr>
              <w:t>Change Management</w:t>
            </w:r>
          </w:p>
        </w:tc>
        <w:tc>
          <w:tcPr>
            <w:tcW w:w="1188" w:type="dxa"/>
          </w:tcPr>
          <w:p w14:paraId="61751861" w14:textId="77777777" w:rsidR="001A10C5" w:rsidRDefault="001A10C5" w:rsidP="00E36957"/>
        </w:tc>
      </w:tr>
      <w:tr w:rsidR="001A10C5" w14:paraId="489E4EA1" w14:textId="77777777" w:rsidTr="00E36957">
        <w:trPr>
          <w:trHeight w:val="71"/>
        </w:trPr>
        <w:tc>
          <w:tcPr>
            <w:tcW w:w="1469" w:type="dxa"/>
          </w:tcPr>
          <w:p w14:paraId="67E8F712" w14:textId="494FACC4" w:rsidR="001A10C5" w:rsidRPr="00334126" w:rsidRDefault="001A10C5" w:rsidP="00E36957">
            <w:pPr>
              <w:rPr>
                <w:rFonts w:ascii="Calibri" w:hAnsi="Calibri"/>
                <w:sz w:val="22"/>
                <w:szCs w:val="22"/>
              </w:rPr>
            </w:pPr>
            <w:r w:rsidRPr="00334126">
              <w:rPr>
                <w:rFonts w:ascii="Calibri" w:hAnsi="Calibri"/>
                <w:sz w:val="22"/>
                <w:szCs w:val="22"/>
              </w:rPr>
              <w:t>SPF</w:t>
            </w:r>
          </w:p>
        </w:tc>
        <w:tc>
          <w:tcPr>
            <w:tcW w:w="6286" w:type="dxa"/>
          </w:tcPr>
          <w:p w14:paraId="6F5B4906" w14:textId="3DFC8C43" w:rsidR="001A10C5" w:rsidRPr="00334126" w:rsidRDefault="00334126" w:rsidP="00E36957">
            <w:pPr>
              <w:rPr>
                <w:rFonts w:ascii="Calibri" w:hAnsi="Calibri"/>
                <w:sz w:val="22"/>
                <w:szCs w:val="22"/>
              </w:rPr>
            </w:pPr>
            <w:r w:rsidRPr="00334126">
              <w:rPr>
                <w:rFonts w:ascii="Calibri" w:hAnsi="Calibri"/>
                <w:sz w:val="22"/>
                <w:szCs w:val="22"/>
              </w:rPr>
              <w:t>Strategic Planning for the Future</w:t>
            </w:r>
          </w:p>
        </w:tc>
        <w:tc>
          <w:tcPr>
            <w:tcW w:w="1188" w:type="dxa"/>
          </w:tcPr>
          <w:p w14:paraId="1C0D6311" w14:textId="77777777" w:rsidR="001A10C5" w:rsidRDefault="001A10C5" w:rsidP="00E36957"/>
        </w:tc>
      </w:tr>
    </w:tbl>
    <w:p w14:paraId="60F5B40B" w14:textId="77777777" w:rsidR="00E36957" w:rsidRPr="00E36957" w:rsidRDefault="00E36957" w:rsidP="00E36957">
      <w:pPr>
        <w:widowControl w:val="0"/>
        <w:autoSpaceDE w:val="0"/>
        <w:autoSpaceDN w:val="0"/>
        <w:adjustRightInd w:val="0"/>
        <w:spacing w:line="259" w:lineRule="auto"/>
        <w:jc w:val="center"/>
        <w:rPr>
          <w:rFonts w:ascii="Calibri" w:hAnsi="Calibri"/>
          <w:sz w:val="12"/>
          <w:szCs w:val="22"/>
        </w:rPr>
      </w:pPr>
    </w:p>
    <w:p w14:paraId="0A722CC3" w14:textId="43B71036" w:rsidR="00E63FFA" w:rsidRDefault="00E36957" w:rsidP="00E36957">
      <w:pPr>
        <w:widowControl w:val="0"/>
        <w:autoSpaceDE w:val="0"/>
        <w:autoSpaceDN w:val="0"/>
        <w:adjustRightInd w:val="0"/>
        <w:spacing w:after="160" w:line="259" w:lineRule="auto"/>
        <w:jc w:val="center"/>
        <w:rPr>
          <w:rFonts w:asciiTheme="majorHAnsi" w:hAnsiTheme="majorHAnsi" w:cstheme="majorHAnsi"/>
          <w:sz w:val="22"/>
          <w:szCs w:val="22"/>
          <w:lang w:val="en-GB"/>
        </w:rPr>
      </w:pPr>
      <w:r w:rsidRPr="00E63FFA">
        <w:rPr>
          <w:rFonts w:ascii="Calibri" w:hAnsi="Calibri"/>
          <w:sz w:val="22"/>
          <w:szCs w:val="22"/>
        </w:rPr>
        <w:t xml:space="preserve">Table </w:t>
      </w:r>
      <w:r w:rsidRPr="00E63FFA">
        <w:rPr>
          <w:rFonts w:ascii="Calibri" w:hAnsi="Calibri"/>
          <w:sz w:val="22"/>
          <w:szCs w:val="22"/>
        </w:rPr>
        <w:fldChar w:fldCharType="begin"/>
      </w:r>
      <w:r w:rsidRPr="00E63FFA">
        <w:rPr>
          <w:rFonts w:ascii="Calibri" w:hAnsi="Calibri"/>
          <w:sz w:val="22"/>
          <w:szCs w:val="22"/>
        </w:rPr>
        <w:instrText xml:space="preserve"> SEQ Table \* ARABIC </w:instrText>
      </w:r>
      <w:r w:rsidRPr="00E63FFA">
        <w:rPr>
          <w:rFonts w:ascii="Calibri" w:hAnsi="Calibri"/>
          <w:sz w:val="22"/>
          <w:szCs w:val="22"/>
        </w:rPr>
        <w:fldChar w:fldCharType="separate"/>
      </w:r>
      <w:r w:rsidRPr="00E63FFA">
        <w:rPr>
          <w:rFonts w:ascii="Calibri" w:hAnsi="Calibri"/>
          <w:noProof/>
          <w:sz w:val="22"/>
          <w:szCs w:val="22"/>
        </w:rPr>
        <w:t>1</w:t>
      </w:r>
      <w:r w:rsidRPr="00E63FFA">
        <w:rPr>
          <w:rFonts w:ascii="Calibri" w:hAnsi="Calibri"/>
          <w:sz w:val="22"/>
          <w:szCs w:val="22"/>
        </w:rPr>
        <w:fldChar w:fldCharType="end"/>
      </w:r>
      <w:r w:rsidRPr="00E63FFA">
        <w:rPr>
          <w:rFonts w:ascii="Calibri" w:hAnsi="Calibri"/>
          <w:sz w:val="22"/>
          <w:szCs w:val="22"/>
        </w:rPr>
        <w:t>: Score Sheet of Eleven Pillars in PSMS</w:t>
      </w:r>
      <w:r>
        <w:rPr>
          <w:rFonts w:ascii="Calibri" w:hAnsi="Calibri"/>
          <w:sz w:val="22"/>
          <w:szCs w:val="22"/>
        </w:rPr>
        <w:t xml:space="preserve"> v5 Source: </w:t>
      </w:r>
      <w:proofErr w:type="spellStart"/>
      <w:r>
        <w:rPr>
          <w:rFonts w:ascii="Calibri" w:hAnsi="Calibri"/>
          <w:sz w:val="22"/>
          <w:szCs w:val="22"/>
        </w:rPr>
        <w:t>Kuznetsov</w:t>
      </w:r>
      <w:proofErr w:type="spellEnd"/>
      <w:r>
        <w:rPr>
          <w:rFonts w:ascii="Calibri" w:hAnsi="Calibri"/>
          <w:sz w:val="22"/>
          <w:szCs w:val="22"/>
        </w:rPr>
        <w:t>, 2014, p.398.</w:t>
      </w:r>
    </w:p>
    <w:p w14:paraId="7753B5E4" w14:textId="5AA28A4F" w:rsidR="00EA300B" w:rsidRDefault="00EA300B" w:rsidP="00E36957">
      <w:pPr>
        <w:widowControl w:val="0"/>
        <w:autoSpaceDE w:val="0"/>
        <w:autoSpaceDN w:val="0"/>
        <w:adjustRightInd w:val="0"/>
        <w:spacing w:line="259" w:lineRule="auto"/>
        <w:jc w:val="both"/>
        <w:rPr>
          <w:rFonts w:asciiTheme="majorHAnsi" w:hAnsiTheme="majorHAnsi" w:cstheme="majorHAnsi"/>
          <w:sz w:val="22"/>
          <w:szCs w:val="22"/>
          <w:lang w:val="en-GB"/>
        </w:rPr>
      </w:pPr>
      <w:r>
        <w:rPr>
          <w:rFonts w:asciiTheme="majorHAnsi" w:hAnsiTheme="majorHAnsi" w:cstheme="majorHAnsi"/>
          <w:sz w:val="22"/>
          <w:szCs w:val="22"/>
          <w:lang w:val="en-GB"/>
        </w:rPr>
        <w:lastRenderedPageBreak/>
        <w:t xml:space="preserve">Table 1 </w:t>
      </w:r>
      <w:r w:rsidR="00430A9F">
        <w:rPr>
          <w:rFonts w:asciiTheme="majorHAnsi" w:hAnsiTheme="majorHAnsi" w:cstheme="majorHAnsi"/>
          <w:sz w:val="22"/>
          <w:szCs w:val="22"/>
          <w:lang w:val="en-GB"/>
        </w:rPr>
        <w:t xml:space="preserve">above </w:t>
      </w:r>
      <w:r>
        <w:rPr>
          <w:rFonts w:asciiTheme="majorHAnsi" w:hAnsiTheme="majorHAnsi" w:cstheme="majorHAnsi"/>
          <w:sz w:val="22"/>
          <w:szCs w:val="22"/>
          <w:lang w:val="en-GB"/>
        </w:rPr>
        <w:t xml:space="preserve">illustrates the PSMS v5 score sheet of eleven </w:t>
      </w:r>
      <w:proofErr w:type="gramStart"/>
      <w:r>
        <w:rPr>
          <w:rFonts w:asciiTheme="majorHAnsi" w:hAnsiTheme="majorHAnsi" w:cstheme="majorHAnsi"/>
          <w:sz w:val="22"/>
          <w:szCs w:val="22"/>
          <w:lang w:val="en-GB"/>
        </w:rPr>
        <w:t>pillars</w:t>
      </w:r>
      <w:r w:rsidR="00430A9F">
        <w:rPr>
          <w:rFonts w:asciiTheme="majorHAnsi" w:hAnsiTheme="majorHAnsi" w:cstheme="majorHAnsi"/>
          <w:sz w:val="22"/>
          <w:szCs w:val="22"/>
          <w:lang w:val="en-GB"/>
        </w:rPr>
        <w:t xml:space="preserve"> </w:t>
      </w:r>
      <w:r>
        <w:rPr>
          <w:rFonts w:asciiTheme="majorHAnsi" w:hAnsiTheme="majorHAnsi" w:cstheme="majorHAnsi"/>
          <w:sz w:val="22"/>
          <w:szCs w:val="22"/>
          <w:lang w:val="en-GB"/>
        </w:rPr>
        <w:t>.</w:t>
      </w:r>
      <w:proofErr w:type="gramEnd"/>
      <w:r>
        <w:rPr>
          <w:rFonts w:asciiTheme="majorHAnsi" w:hAnsiTheme="majorHAnsi" w:cstheme="majorHAnsi"/>
          <w:sz w:val="22"/>
          <w:szCs w:val="22"/>
          <w:lang w:val="en-GB"/>
        </w:rPr>
        <w:t xml:space="preserve"> After the self-evaluation process of the PSMS, harbour masters add up the scores and then divide the total score by 11 to get th</w:t>
      </w:r>
      <w:r w:rsidR="0093117A">
        <w:rPr>
          <w:rFonts w:asciiTheme="majorHAnsi" w:hAnsiTheme="majorHAnsi" w:cstheme="majorHAnsi"/>
          <w:sz w:val="22"/>
          <w:szCs w:val="22"/>
          <w:lang w:val="en-GB"/>
        </w:rPr>
        <w:t xml:space="preserve">e overall average rating of their harbour results. PSMS also lets harbour masters to focus on their missing pillar and show harbour masters to fix/improve the required pillars. </w:t>
      </w:r>
    </w:p>
    <w:p w14:paraId="28A0E785" w14:textId="77777777" w:rsidR="00E36957" w:rsidRDefault="00E36957" w:rsidP="00E36957">
      <w:pPr>
        <w:widowControl w:val="0"/>
        <w:autoSpaceDE w:val="0"/>
        <w:autoSpaceDN w:val="0"/>
        <w:adjustRightInd w:val="0"/>
        <w:spacing w:line="259" w:lineRule="auto"/>
        <w:jc w:val="both"/>
        <w:rPr>
          <w:rFonts w:asciiTheme="majorHAnsi" w:hAnsiTheme="majorHAnsi" w:cstheme="majorHAnsi"/>
          <w:sz w:val="22"/>
          <w:szCs w:val="22"/>
          <w:lang w:val="en-GB"/>
        </w:rPr>
      </w:pPr>
    </w:p>
    <w:p w14:paraId="520D7501" w14:textId="6102E111" w:rsidR="00827BBD" w:rsidRDefault="002468E0" w:rsidP="00E36957">
      <w:pPr>
        <w:widowControl w:val="0"/>
        <w:autoSpaceDE w:val="0"/>
        <w:autoSpaceDN w:val="0"/>
        <w:adjustRightInd w:val="0"/>
        <w:spacing w:line="259" w:lineRule="auto"/>
        <w:jc w:val="both"/>
        <w:rPr>
          <w:rFonts w:asciiTheme="majorHAnsi" w:hAnsiTheme="majorHAnsi" w:cstheme="majorHAnsi"/>
          <w:sz w:val="22"/>
          <w:szCs w:val="22"/>
          <w:lang w:val="en-GB"/>
        </w:rPr>
      </w:pPr>
      <w:r w:rsidRPr="0023485C">
        <w:rPr>
          <w:rFonts w:asciiTheme="majorHAnsi" w:hAnsiTheme="majorHAnsi" w:cstheme="majorHAnsi"/>
          <w:sz w:val="22"/>
          <w:szCs w:val="22"/>
          <w:lang w:val="en-GB"/>
        </w:rPr>
        <w:t xml:space="preserve">PSMS </w:t>
      </w:r>
      <w:r>
        <w:rPr>
          <w:rFonts w:asciiTheme="majorHAnsi" w:hAnsiTheme="majorHAnsi" w:cstheme="majorHAnsi"/>
          <w:sz w:val="22"/>
          <w:szCs w:val="22"/>
          <w:lang w:val="en-GB"/>
        </w:rPr>
        <w:t xml:space="preserve">also facilitates </w:t>
      </w:r>
      <w:r w:rsidRPr="0023485C">
        <w:rPr>
          <w:rFonts w:asciiTheme="majorHAnsi" w:hAnsiTheme="majorHAnsi" w:cstheme="majorHAnsi"/>
          <w:sz w:val="22"/>
          <w:szCs w:val="22"/>
          <w:lang w:val="en-GB"/>
        </w:rPr>
        <w:t>compar</w:t>
      </w:r>
      <w:r>
        <w:rPr>
          <w:rFonts w:asciiTheme="majorHAnsi" w:hAnsiTheme="majorHAnsi" w:cstheme="majorHAnsi"/>
          <w:sz w:val="22"/>
          <w:szCs w:val="22"/>
          <w:lang w:val="en-GB"/>
        </w:rPr>
        <w:t>isons of port performance if ports are willing to set benchmarking</w:t>
      </w:r>
      <w:r w:rsidRPr="0023485C">
        <w:rPr>
          <w:rFonts w:asciiTheme="majorHAnsi" w:hAnsiTheme="majorHAnsi" w:cstheme="majorHAnsi"/>
          <w:sz w:val="22"/>
          <w:szCs w:val="22"/>
          <w:lang w:val="en-GB"/>
        </w:rPr>
        <w:t xml:space="preserve"> standard</w:t>
      </w:r>
      <w:r>
        <w:rPr>
          <w:rFonts w:asciiTheme="majorHAnsi" w:hAnsiTheme="majorHAnsi" w:cstheme="majorHAnsi"/>
          <w:sz w:val="22"/>
          <w:szCs w:val="22"/>
          <w:lang w:val="en-GB"/>
        </w:rPr>
        <w:t xml:space="preserve">s against, which to compare their performance. Alternatively, PSMS offers a tool to self-evaluate a port’s </w:t>
      </w:r>
      <w:r w:rsidRPr="0023485C">
        <w:rPr>
          <w:rFonts w:asciiTheme="majorHAnsi" w:hAnsiTheme="majorHAnsi" w:cstheme="majorHAnsi"/>
          <w:sz w:val="22"/>
          <w:szCs w:val="22"/>
          <w:lang w:val="en-GB"/>
        </w:rPr>
        <w:t>sustainab</w:t>
      </w:r>
      <w:r>
        <w:rPr>
          <w:rFonts w:asciiTheme="majorHAnsi" w:hAnsiTheme="majorHAnsi" w:cstheme="majorHAnsi"/>
          <w:sz w:val="22"/>
          <w:szCs w:val="22"/>
          <w:lang w:val="en-GB"/>
        </w:rPr>
        <w:t>ility.</w:t>
      </w:r>
      <w:r w:rsidRPr="0023485C">
        <w:rPr>
          <w:rFonts w:asciiTheme="majorHAnsi" w:hAnsiTheme="majorHAnsi" w:cstheme="majorHAnsi"/>
          <w:sz w:val="22"/>
          <w:szCs w:val="22"/>
          <w:lang w:val="en-GB"/>
        </w:rPr>
        <w:t xml:space="preserve"> </w:t>
      </w:r>
    </w:p>
    <w:p w14:paraId="468146AE" w14:textId="77777777" w:rsidR="00E36957" w:rsidRPr="001A10C5" w:rsidRDefault="00E36957" w:rsidP="00E36957">
      <w:pPr>
        <w:widowControl w:val="0"/>
        <w:autoSpaceDE w:val="0"/>
        <w:autoSpaceDN w:val="0"/>
        <w:adjustRightInd w:val="0"/>
        <w:spacing w:line="259" w:lineRule="auto"/>
        <w:jc w:val="both"/>
        <w:rPr>
          <w:rFonts w:asciiTheme="majorHAnsi" w:hAnsiTheme="majorHAnsi" w:cstheme="majorHAnsi"/>
          <w:sz w:val="22"/>
          <w:szCs w:val="22"/>
          <w:lang w:val="en-GB"/>
        </w:rPr>
      </w:pPr>
    </w:p>
    <w:p w14:paraId="59B75850" w14:textId="302F685C" w:rsidR="002468E0" w:rsidRPr="0023485C" w:rsidRDefault="00B22709" w:rsidP="00E36957">
      <w:pPr>
        <w:shd w:val="clear" w:color="auto" w:fill="FFFFFF"/>
        <w:spacing w:line="259" w:lineRule="auto"/>
        <w:jc w:val="both"/>
        <w:rPr>
          <w:rFonts w:asciiTheme="majorHAnsi" w:hAnsiTheme="majorHAnsi" w:cstheme="majorHAnsi"/>
          <w:b/>
          <w:sz w:val="22"/>
          <w:szCs w:val="22"/>
          <w:u w:val="single"/>
          <w:lang w:val="en-GB"/>
        </w:rPr>
      </w:pPr>
      <w:r>
        <w:rPr>
          <w:rFonts w:asciiTheme="majorHAnsi" w:hAnsiTheme="majorHAnsi" w:cstheme="majorHAnsi"/>
          <w:b/>
          <w:sz w:val="22"/>
          <w:szCs w:val="22"/>
          <w:u w:val="single"/>
          <w:lang w:val="en-GB"/>
        </w:rPr>
        <w:t>The research problem</w:t>
      </w:r>
    </w:p>
    <w:p w14:paraId="69C3CE86" w14:textId="77777777" w:rsidR="002468E0" w:rsidRPr="0023485C" w:rsidRDefault="002468E0" w:rsidP="00E36957">
      <w:pPr>
        <w:shd w:val="clear" w:color="auto" w:fill="FFFFFF"/>
        <w:spacing w:line="259" w:lineRule="auto"/>
        <w:jc w:val="both"/>
        <w:rPr>
          <w:rFonts w:asciiTheme="majorHAnsi" w:hAnsiTheme="majorHAnsi" w:cstheme="majorHAnsi"/>
          <w:sz w:val="22"/>
          <w:szCs w:val="22"/>
          <w:lang w:val="en-GB"/>
        </w:rPr>
      </w:pPr>
      <w:r w:rsidRPr="0023485C">
        <w:rPr>
          <w:rFonts w:asciiTheme="majorHAnsi" w:hAnsiTheme="majorHAnsi" w:cstheme="majorHAnsi"/>
          <w:sz w:val="22"/>
          <w:szCs w:val="22"/>
          <w:lang w:val="en-GB"/>
        </w:rPr>
        <w:t xml:space="preserve">To </w:t>
      </w:r>
      <w:r>
        <w:rPr>
          <w:rFonts w:asciiTheme="majorHAnsi" w:hAnsiTheme="majorHAnsi" w:cstheme="majorHAnsi"/>
          <w:sz w:val="22"/>
          <w:szCs w:val="22"/>
          <w:lang w:val="en-GB"/>
        </w:rPr>
        <w:t xml:space="preserve">assess the extent to which PSMS </w:t>
      </w:r>
      <w:r w:rsidRPr="00BE1727">
        <w:rPr>
          <w:rFonts w:asciiTheme="majorHAnsi" w:hAnsiTheme="majorHAnsi" w:cstheme="majorHAnsi"/>
          <w:sz w:val="22"/>
          <w:szCs w:val="22"/>
          <w:lang w:val="en-GB"/>
        </w:rPr>
        <w:t>offers a self-evaluat</w:t>
      </w:r>
      <w:r>
        <w:rPr>
          <w:rFonts w:asciiTheme="majorHAnsi" w:hAnsiTheme="majorHAnsi" w:cstheme="majorHAnsi"/>
          <w:sz w:val="22"/>
          <w:szCs w:val="22"/>
          <w:lang w:val="en-GB"/>
        </w:rPr>
        <w:t>ion tool to assess</w:t>
      </w:r>
      <w:r w:rsidRPr="00BE1727">
        <w:rPr>
          <w:rFonts w:asciiTheme="majorHAnsi" w:hAnsiTheme="majorHAnsi" w:cstheme="majorHAnsi"/>
          <w:sz w:val="22"/>
          <w:szCs w:val="22"/>
          <w:lang w:val="en-GB"/>
        </w:rPr>
        <w:t xml:space="preserve"> port sustainability</w:t>
      </w:r>
      <w:r>
        <w:rPr>
          <w:rFonts w:asciiTheme="majorHAnsi" w:hAnsiTheme="majorHAnsi" w:cstheme="majorHAnsi"/>
          <w:sz w:val="22"/>
          <w:szCs w:val="22"/>
          <w:lang w:val="en-GB"/>
        </w:rPr>
        <w:t>, n</w:t>
      </w:r>
      <w:r w:rsidRPr="0023485C">
        <w:rPr>
          <w:rFonts w:asciiTheme="majorHAnsi" w:hAnsiTheme="majorHAnsi" w:cstheme="majorHAnsi"/>
          <w:sz w:val="22"/>
          <w:szCs w:val="22"/>
          <w:lang w:val="en-GB"/>
        </w:rPr>
        <w:t xml:space="preserve">ine interviews </w:t>
      </w:r>
      <w:r>
        <w:rPr>
          <w:rFonts w:asciiTheme="majorHAnsi" w:hAnsiTheme="majorHAnsi" w:cstheme="majorHAnsi"/>
          <w:sz w:val="22"/>
          <w:szCs w:val="22"/>
          <w:lang w:val="en-GB"/>
        </w:rPr>
        <w:t>were</w:t>
      </w:r>
      <w:r w:rsidRPr="0023485C">
        <w:rPr>
          <w:rFonts w:asciiTheme="majorHAnsi" w:hAnsiTheme="majorHAnsi" w:cstheme="majorHAnsi"/>
          <w:sz w:val="22"/>
          <w:szCs w:val="22"/>
          <w:lang w:val="en-GB"/>
        </w:rPr>
        <w:t xml:space="preserve"> conducted</w:t>
      </w:r>
      <w:r>
        <w:rPr>
          <w:rFonts w:asciiTheme="majorHAnsi" w:hAnsiTheme="majorHAnsi" w:cstheme="majorHAnsi"/>
          <w:sz w:val="22"/>
          <w:szCs w:val="22"/>
          <w:lang w:val="en-GB"/>
        </w:rPr>
        <w:t xml:space="preserve"> either </w:t>
      </w:r>
      <w:r w:rsidRPr="0023485C">
        <w:rPr>
          <w:rFonts w:asciiTheme="majorHAnsi" w:hAnsiTheme="majorHAnsi" w:cstheme="majorHAnsi"/>
          <w:sz w:val="22"/>
          <w:szCs w:val="22"/>
          <w:lang w:val="en-GB"/>
        </w:rPr>
        <w:t>face-to-face</w:t>
      </w:r>
      <w:r>
        <w:rPr>
          <w:rFonts w:asciiTheme="majorHAnsi" w:hAnsiTheme="majorHAnsi" w:cstheme="majorHAnsi"/>
          <w:sz w:val="22"/>
          <w:szCs w:val="22"/>
          <w:lang w:val="en-GB"/>
        </w:rPr>
        <w:t xml:space="preserve"> or by </w:t>
      </w:r>
      <w:r w:rsidRPr="0023485C">
        <w:rPr>
          <w:rFonts w:asciiTheme="majorHAnsi" w:hAnsiTheme="majorHAnsi" w:cstheme="majorHAnsi"/>
          <w:sz w:val="22"/>
          <w:szCs w:val="22"/>
          <w:lang w:val="en-GB"/>
        </w:rPr>
        <w:t>telephone</w:t>
      </w:r>
      <w:r>
        <w:rPr>
          <w:rFonts w:asciiTheme="majorHAnsi" w:hAnsiTheme="majorHAnsi" w:cstheme="majorHAnsi"/>
          <w:sz w:val="22"/>
          <w:szCs w:val="22"/>
          <w:lang w:val="en-GB"/>
        </w:rPr>
        <w:t xml:space="preserve"> and email</w:t>
      </w:r>
      <w:r w:rsidRPr="0023485C">
        <w:rPr>
          <w:rFonts w:asciiTheme="majorHAnsi" w:hAnsiTheme="majorHAnsi" w:cstheme="majorHAnsi"/>
          <w:sz w:val="22"/>
          <w:szCs w:val="22"/>
          <w:lang w:val="en-GB"/>
        </w:rPr>
        <w:t xml:space="preserve">. </w:t>
      </w:r>
      <w:r>
        <w:rPr>
          <w:rFonts w:asciiTheme="majorHAnsi" w:hAnsiTheme="majorHAnsi" w:cstheme="majorHAnsi"/>
          <w:sz w:val="22"/>
          <w:szCs w:val="22"/>
          <w:lang w:val="en-GB"/>
        </w:rPr>
        <w:t>I</w:t>
      </w:r>
      <w:r w:rsidRPr="0023485C">
        <w:rPr>
          <w:rFonts w:asciiTheme="majorHAnsi" w:hAnsiTheme="majorHAnsi" w:cstheme="majorHAnsi"/>
          <w:sz w:val="22"/>
          <w:szCs w:val="22"/>
          <w:lang w:val="en-GB"/>
        </w:rPr>
        <w:t xml:space="preserve">nterviews </w:t>
      </w:r>
      <w:r>
        <w:rPr>
          <w:rFonts w:asciiTheme="majorHAnsi" w:hAnsiTheme="majorHAnsi" w:cstheme="majorHAnsi"/>
          <w:sz w:val="22"/>
          <w:szCs w:val="22"/>
          <w:lang w:val="en-GB"/>
        </w:rPr>
        <w:t>were undertaken in three</w:t>
      </w:r>
      <w:r w:rsidRPr="0023485C">
        <w:rPr>
          <w:rFonts w:asciiTheme="majorHAnsi" w:hAnsiTheme="majorHAnsi" w:cstheme="majorHAnsi"/>
          <w:sz w:val="22"/>
          <w:szCs w:val="22"/>
          <w:lang w:val="en-GB"/>
        </w:rPr>
        <w:t xml:space="preserve"> British ports</w:t>
      </w:r>
      <w:r>
        <w:rPr>
          <w:rFonts w:asciiTheme="majorHAnsi" w:hAnsiTheme="majorHAnsi" w:cstheme="majorHAnsi"/>
          <w:sz w:val="22"/>
          <w:szCs w:val="22"/>
          <w:lang w:val="en-GB"/>
        </w:rPr>
        <w:t xml:space="preserve">, </w:t>
      </w:r>
      <w:r w:rsidRPr="0023485C">
        <w:rPr>
          <w:rFonts w:asciiTheme="majorHAnsi" w:hAnsiTheme="majorHAnsi" w:cstheme="majorHAnsi"/>
          <w:sz w:val="22"/>
          <w:szCs w:val="22"/>
          <w:lang w:val="en-GB"/>
        </w:rPr>
        <w:t xml:space="preserve">five Turkish ports and </w:t>
      </w:r>
      <w:r>
        <w:rPr>
          <w:rFonts w:asciiTheme="majorHAnsi" w:hAnsiTheme="majorHAnsi" w:cstheme="majorHAnsi"/>
          <w:sz w:val="22"/>
          <w:szCs w:val="22"/>
          <w:lang w:val="en-GB"/>
        </w:rPr>
        <w:t xml:space="preserve">with </w:t>
      </w:r>
      <w:r w:rsidRPr="0023485C">
        <w:rPr>
          <w:rFonts w:asciiTheme="majorHAnsi" w:hAnsiTheme="majorHAnsi" w:cstheme="majorHAnsi"/>
          <w:sz w:val="22"/>
          <w:szCs w:val="22"/>
          <w:lang w:val="en-GB"/>
        </w:rPr>
        <w:t xml:space="preserve">one lecturer in a Turkish university to combine practitioner and academic perspectives. From the nine interviews, one interview is selected from both countries for this paper. </w:t>
      </w:r>
      <w:r>
        <w:rPr>
          <w:rFonts w:asciiTheme="majorHAnsi" w:hAnsiTheme="majorHAnsi" w:cstheme="majorHAnsi"/>
          <w:sz w:val="22"/>
          <w:szCs w:val="22"/>
          <w:lang w:val="en-GB"/>
        </w:rPr>
        <w:t>The i</w:t>
      </w:r>
      <w:r w:rsidRPr="0023485C">
        <w:rPr>
          <w:rFonts w:asciiTheme="majorHAnsi" w:hAnsiTheme="majorHAnsi" w:cstheme="majorHAnsi"/>
          <w:sz w:val="22"/>
          <w:szCs w:val="22"/>
          <w:lang w:val="en-GB"/>
        </w:rPr>
        <w:t xml:space="preserve">nterviews </w:t>
      </w:r>
      <w:r>
        <w:rPr>
          <w:rFonts w:asciiTheme="majorHAnsi" w:hAnsiTheme="majorHAnsi" w:cstheme="majorHAnsi"/>
          <w:sz w:val="22"/>
          <w:szCs w:val="22"/>
          <w:lang w:val="en-GB"/>
        </w:rPr>
        <w:t xml:space="preserve">reported </w:t>
      </w:r>
      <w:r w:rsidRPr="0023485C">
        <w:rPr>
          <w:rFonts w:asciiTheme="majorHAnsi" w:hAnsiTheme="majorHAnsi" w:cstheme="majorHAnsi"/>
          <w:sz w:val="22"/>
          <w:szCs w:val="22"/>
          <w:lang w:val="en-GB"/>
        </w:rPr>
        <w:t xml:space="preserve">engaged </w:t>
      </w:r>
      <w:r>
        <w:rPr>
          <w:rFonts w:asciiTheme="majorHAnsi" w:hAnsiTheme="majorHAnsi" w:cstheme="majorHAnsi"/>
          <w:sz w:val="22"/>
          <w:szCs w:val="22"/>
          <w:lang w:val="en-GB"/>
        </w:rPr>
        <w:t xml:space="preserve">the </w:t>
      </w:r>
      <w:r w:rsidRPr="0023485C">
        <w:rPr>
          <w:rFonts w:asciiTheme="majorHAnsi" w:hAnsiTheme="majorHAnsi" w:cstheme="majorHAnsi"/>
          <w:sz w:val="22"/>
          <w:szCs w:val="22"/>
          <w:lang w:val="en-GB"/>
        </w:rPr>
        <w:t xml:space="preserve">chief executive of Poole Harbour Commissioners and </w:t>
      </w:r>
      <w:r>
        <w:rPr>
          <w:rFonts w:asciiTheme="majorHAnsi" w:hAnsiTheme="majorHAnsi" w:cstheme="majorHAnsi"/>
          <w:sz w:val="22"/>
          <w:szCs w:val="22"/>
          <w:lang w:val="en-GB"/>
        </w:rPr>
        <w:t>the g</w:t>
      </w:r>
      <w:r w:rsidRPr="0023485C">
        <w:rPr>
          <w:rFonts w:asciiTheme="majorHAnsi" w:hAnsiTheme="majorHAnsi" w:cstheme="majorHAnsi"/>
          <w:sz w:val="22"/>
          <w:szCs w:val="22"/>
          <w:lang w:val="en-GB"/>
        </w:rPr>
        <w:t xml:space="preserve">eneral </w:t>
      </w:r>
      <w:r>
        <w:rPr>
          <w:rFonts w:asciiTheme="majorHAnsi" w:hAnsiTheme="majorHAnsi" w:cstheme="majorHAnsi"/>
          <w:sz w:val="22"/>
          <w:szCs w:val="22"/>
          <w:lang w:val="en-GB"/>
        </w:rPr>
        <w:t>m</w:t>
      </w:r>
      <w:r w:rsidRPr="0023485C">
        <w:rPr>
          <w:rFonts w:asciiTheme="majorHAnsi" w:hAnsiTheme="majorHAnsi" w:cstheme="majorHAnsi"/>
          <w:sz w:val="22"/>
          <w:szCs w:val="22"/>
          <w:lang w:val="en-GB"/>
        </w:rPr>
        <w:t xml:space="preserve">anager of </w:t>
      </w:r>
      <w:r>
        <w:rPr>
          <w:rFonts w:asciiTheme="majorHAnsi" w:hAnsiTheme="majorHAnsi" w:cstheme="majorHAnsi"/>
          <w:sz w:val="22"/>
          <w:szCs w:val="22"/>
          <w:lang w:val="en-GB"/>
        </w:rPr>
        <w:t xml:space="preserve">the </w:t>
      </w:r>
      <w:r w:rsidRPr="0023485C">
        <w:rPr>
          <w:rFonts w:asciiTheme="majorHAnsi" w:hAnsiTheme="majorHAnsi" w:cstheme="majorHAnsi"/>
          <w:sz w:val="22"/>
          <w:szCs w:val="22"/>
          <w:lang w:val="en-GB"/>
        </w:rPr>
        <w:t xml:space="preserve">Port </w:t>
      </w:r>
      <w:r>
        <w:rPr>
          <w:rFonts w:asciiTheme="majorHAnsi" w:hAnsiTheme="majorHAnsi" w:cstheme="majorHAnsi"/>
          <w:sz w:val="22"/>
          <w:szCs w:val="22"/>
          <w:lang w:val="en-GB"/>
        </w:rPr>
        <w:t xml:space="preserve">of </w:t>
      </w:r>
      <w:proofErr w:type="spellStart"/>
      <w:r w:rsidRPr="0023485C">
        <w:rPr>
          <w:rFonts w:asciiTheme="majorHAnsi" w:hAnsiTheme="majorHAnsi" w:cstheme="majorHAnsi"/>
          <w:sz w:val="22"/>
          <w:szCs w:val="22"/>
          <w:lang w:val="en-GB"/>
        </w:rPr>
        <w:t>Akdeniz</w:t>
      </w:r>
      <w:proofErr w:type="spellEnd"/>
      <w:r>
        <w:rPr>
          <w:rFonts w:asciiTheme="majorHAnsi" w:hAnsiTheme="majorHAnsi" w:cstheme="majorHAnsi"/>
          <w:sz w:val="22"/>
          <w:szCs w:val="22"/>
          <w:lang w:val="en-GB"/>
        </w:rPr>
        <w:t xml:space="preserve"> in Antalya, Turkey</w:t>
      </w:r>
      <w:r w:rsidRPr="0023485C">
        <w:rPr>
          <w:rFonts w:asciiTheme="majorHAnsi" w:hAnsiTheme="majorHAnsi" w:cstheme="majorHAnsi"/>
          <w:sz w:val="22"/>
          <w:szCs w:val="22"/>
          <w:lang w:val="en-GB"/>
        </w:rPr>
        <w:t xml:space="preserve">. </w:t>
      </w:r>
    </w:p>
    <w:p w14:paraId="2D333A86" w14:textId="77777777" w:rsidR="00E36957" w:rsidRDefault="00E36957" w:rsidP="00E36957">
      <w:pPr>
        <w:shd w:val="clear" w:color="auto" w:fill="FFFFFF"/>
        <w:spacing w:line="259" w:lineRule="auto"/>
        <w:jc w:val="both"/>
        <w:rPr>
          <w:rFonts w:asciiTheme="majorHAnsi" w:hAnsiTheme="majorHAnsi" w:cstheme="majorHAnsi"/>
          <w:sz w:val="22"/>
          <w:szCs w:val="22"/>
          <w:lang w:val="en-GB"/>
        </w:rPr>
      </w:pPr>
    </w:p>
    <w:p w14:paraId="17D6E63D" w14:textId="194F9A60" w:rsidR="002468E0" w:rsidRDefault="002468E0" w:rsidP="00E36957">
      <w:pPr>
        <w:shd w:val="clear" w:color="auto" w:fill="FFFFFF"/>
        <w:spacing w:line="259" w:lineRule="auto"/>
        <w:jc w:val="both"/>
        <w:rPr>
          <w:rFonts w:asciiTheme="majorHAnsi" w:hAnsiTheme="majorHAnsi" w:cstheme="majorHAnsi"/>
          <w:sz w:val="22"/>
          <w:szCs w:val="22"/>
          <w:lang w:val="en-GB"/>
        </w:rPr>
      </w:pPr>
      <w:r w:rsidRPr="0023485C">
        <w:rPr>
          <w:rFonts w:asciiTheme="majorHAnsi" w:hAnsiTheme="majorHAnsi" w:cstheme="majorHAnsi"/>
          <w:sz w:val="22"/>
          <w:szCs w:val="22"/>
          <w:lang w:val="en-GB"/>
        </w:rPr>
        <w:t xml:space="preserve">To </w:t>
      </w:r>
      <w:r>
        <w:rPr>
          <w:rFonts w:asciiTheme="majorHAnsi" w:hAnsiTheme="majorHAnsi" w:cstheme="majorHAnsi"/>
          <w:sz w:val="22"/>
          <w:szCs w:val="22"/>
          <w:lang w:val="en-GB"/>
        </w:rPr>
        <w:t xml:space="preserve">assess </w:t>
      </w:r>
      <w:r w:rsidRPr="0023485C">
        <w:rPr>
          <w:rFonts w:asciiTheme="majorHAnsi" w:hAnsiTheme="majorHAnsi" w:cstheme="majorHAnsi"/>
          <w:sz w:val="22"/>
          <w:szCs w:val="22"/>
          <w:lang w:val="en-GB"/>
        </w:rPr>
        <w:t>the current level of sustainability awareness</w:t>
      </w:r>
      <w:r>
        <w:rPr>
          <w:rFonts w:asciiTheme="majorHAnsi" w:hAnsiTheme="majorHAnsi" w:cstheme="majorHAnsi"/>
          <w:sz w:val="22"/>
          <w:szCs w:val="22"/>
          <w:lang w:val="en-GB"/>
        </w:rPr>
        <w:t xml:space="preserve"> the </w:t>
      </w:r>
      <w:r w:rsidRPr="0023485C">
        <w:rPr>
          <w:rFonts w:asciiTheme="majorHAnsi" w:hAnsiTheme="majorHAnsi" w:cstheme="majorHAnsi"/>
          <w:sz w:val="22"/>
          <w:szCs w:val="22"/>
          <w:lang w:val="en-GB"/>
        </w:rPr>
        <w:t xml:space="preserve">Turkish </w:t>
      </w:r>
      <w:r>
        <w:rPr>
          <w:rFonts w:asciiTheme="majorHAnsi" w:hAnsiTheme="majorHAnsi" w:cstheme="majorHAnsi"/>
          <w:sz w:val="22"/>
          <w:szCs w:val="22"/>
          <w:lang w:val="en-GB"/>
        </w:rPr>
        <w:t xml:space="preserve">and </w:t>
      </w:r>
      <w:r w:rsidRPr="0023485C">
        <w:rPr>
          <w:rFonts w:asciiTheme="majorHAnsi" w:hAnsiTheme="majorHAnsi" w:cstheme="majorHAnsi"/>
          <w:sz w:val="22"/>
          <w:szCs w:val="22"/>
          <w:lang w:val="en-GB"/>
        </w:rPr>
        <w:t>British ports</w:t>
      </w:r>
      <w:r>
        <w:rPr>
          <w:rFonts w:asciiTheme="majorHAnsi" w:hAnsiTheme="majorHAnsi" w:cstheme="majorHAnsi"/>
          <w:sz w:val="22"/>
          <w:szCs w:val="22"/>
          <w:lang w:val="en-GB"/>
        </w:rPr>
        <w:t xml:space="preserve"> were compared</w:t>
      </w:r>
      <w:r w:rsidRPr="0023485C">
        <w:rPr>
          <w:rFonts w:asciiTheme="majorHAnsi" w:hAnsiTheme="majorHAnsi" w:cstheme="majorHAnsi"/>
          <w:sz w:val="22"/>
          <w:szCs w:val="22"/>
          <w:lang w:val="en-GB"/>
        </w:rPr>
        <w:t xml:space="preserve">.  Both ports are medium-sized port according to </w:t>
      </w:r>
      <w:r>
        <w:rPr>
          <w:rFonts w:asciiTheme="majorHAnsi" w:hAnsiTheme="majorHAnsi" w:cstheme="majorHAnsi"/>
          <w:sz w:val="22"/>
          <w:szCs w:val="22"/>
          <w:lang w:val="en-GB"/>
        </w:rPr>
        <w:t xml:space="preserve">the </w:t>
      </w:r>
      <w:r w:rsidRPr="0023485C">
        <w:rPr>
          <w:rFonts w:asciiTheme="majorHAnsi" w:hAnsiTheme="majorHAnsi" w:cstheme="majorHAnsi"/>
          <w:sz w:val="22"/>
          <w:szCs w:val="22"/>
          <w:lang w:val="en-GB"/>
        </w:rPr>
        <w:t xml:space="preserve">definition of medium-sized port </w:t>
      </w:r>
      <w:r>
        <w:rPr>
          <w:rFonts w:asciiTheme="majorHAnsi" w:hAnsiTheme="majorHAnsi" w:cstheme="majorHAnsi"/>
          <w:sz w:val="22"/>
          <w:szCs w:val="22"/>
          <w:lang w:val="en-GB"/>
        </w:rPr>
        <w:t xml:space="preserve">used </w:t>
      </w:r>
      <w:r w:rsidRPr="0023485C">
        <w:rPr>
          <w:rFonts w:asciiTheme="majorHAnsi" w:hAnsiTheme="majorHAnsi" w:cstheme="majorHAnsi"/>
          <w:sz w:val="22"/>
          <w:szCs w:val="22"/>
          <w:lang w:val="en-GB"/>
        </w:rPr>
        <w:t xml:space="preserve">by </w:t>
      </w:r>
      <w:r>
        <w:rPr>
          <w:rFonts w:asciiTheme="majorHAnsi" w:hAnsiTheme="majorHAnsi" w:cstheme="majorHAnsi"/>
          <w:sz w:val="22"/>
          <w:szCs w:val="22"/>
          <w:lang w:val="en-GB"/>
        </w:rPr>
        <w:t xml:space="preserve">the </w:t>
      </w:r>
      <w:r w:rsidRPr="0023485C">
        <w:rPr>
          <w:rFonts w:asciiTheme="majorHAnsi" w:hAnsiTheme="majorHAnsi" w:cstheme="majorHAnsi"/>
          <w:sz w:val="22"/>
          <w:szCs w:val="22"/>
          <w:lang w:val="en-GB"/>
        </w:rPr>
        <w:t xml:space="preserve">European Union. </w:t>
      </w:r>
      <w:r>
        <w:rPr>
          <w:rFonts w:asciiTheme="majorHAnsi" w:hAnsiTheme="majorHAnsi" w:cstheme="majorHAnsi"/>
          <w:sz w:val="22"/>
          <w:szCs w:val="22"/>
          <w:lang w:val="en-GB"/>
        </w:rPr>
        <w:t>The t</w:t>
      </w:r>
      <w:r w:rsidRPr="0023485C">
        <w:rPr>
          <w:rFonts w:asciiTheme="majorHAnsi" w:hAnsiTheme="majorHAnsi" w:cstheme="majorHAnsi"/>
          <w:sz w:val="22"/>
          <w:szCs w:val="22"/>
          <w:lang w:val="en-GB"/>
        </w:rPr>
        <w:t xml:space="preserve">urnover of Poole port is </w:t>
      </w:r>
      <w:r>
        <w:rPr>
          <w:rFonts w:asciiTheme="majorHAnsi" w:hAnsiTheme="majorHAnsi" w:cstheme="majorHAnsi"/>
          <w:sz w:val="22"/>
          <w:szCs w:val="22"/>
          <w:lang w:val="en-GB"/>
        </w:rPr>
        <w:t xml:space="preserve">around GBP </w:t>
      </w:r>
      <w:r w:rsidRPr="0023485C">
        <w:rPr>
          <w:rFonts w:asciiTheme="majorHAnsi" w:hAnsiTheme="majorHAnsi" w:cstheme="majorHAnsi"/>
          <w:sz w:val="22"/>
          <w:szCs w:val="22"/>
          <w:lang w:val="en-GB"/>
        </w:rPr>
        <w:t>11 million</w:t>
      </w:r>
      <w:r>
        <w:rPr>
          <w:rFonts w:asciiTheme="majorHAnsi" w:hAnsiTheme="majorHAnsi" w:cstheme="majorHAnsi"/>
          <w:sz w:val="22"/>
          <w:szCs w:val="22"/>
          <w:lang w:val="en-GB"/>
        </w:rPr>
        <w:t xml:space="preserve">, </w:t>
      </w:r>
      <w:r w:rsidRPr="0023485C">
        <w:rPr>
          <w:rFonts w:asciiTheme="majorHAnsi" w:hAnsiTheme="majorHAnsi" w:cstheme="majorHAnsi"/>
          <w:sz w:val="22"/>
          <w:szCs w:val="22"/>
          <w:lang w:val="en-GB"/>
        </w:rPr>
        <w:t xml:space="preserve">whereas </w:t>
      </w:r>
      <w:r>
        <w:rPr>
          <w:rFonts w:asciiTheme="majorHAnsi" w:hAnsiTheme="majorHAnsi" w:cstheme="majorHAnsi"/>
          <w:sz w:val="22"/>
          <w:szCs w:val="22"/>
          <w:lang w:val="en-GB"/>
        </w:rPr>
        <w:t xml:space="preserve">the </w:t>
      </w:r>
      <w:r w:rsidRPr="0023485C">
        <w:rPr>
          <w:rFonts w:asciiTheme="majorHAnsi" w:hAnsiTheme="majorHAnsi" w:cstheme="majorHAnsi"/>
          <w:sz w:val="22"/>
          <w:szCs w:val="22"/>
          <w:lang w:val="en-GB"/>
        </w:rPr>
        <w:t xml:space="preserve">Port </w:t>
      </w:r>
      <w:r>
        <w:rPr>
          <w:rFonts w:asciiTheme="majorHAnsi" w:hAnsiTheme="majorHAnsi" w:cstheme="majorHAnsi"/>
          <w:sz w:val="22"/>
          <w:szCs w:val="22"/>
          <w:lang w:val="en-GB"/>
        </w:rPr>
        <w:t xml:space="preserve">of </w:t>
      </w:r>
      <w:proofErr w:type="spellStart"/>
      <w:r w:rsidRPr="0023485C">
        <w:rPr>
          <w:rFonts w:asciiTheme="majorHAnsi" w:hAnsiTheme="majorHAnsi" w:cstheme="majorHAnsi"/>
          <w:sz w:val="22"/>
          <w:szCs w:val="22"/>
          <w:lang w:val="en-GB"/>
        </w:rPr>
        <w:t>Akdeniz</w:t>
      </w:r>
      <w:proofErr w:type="spellEnd"/>
      <w:r w:rsidRPr="0023485C">
        <w:rPr>
          <w:rFonts w:asciiTheme="majorHAnsi" w:hAnsiTheme="majorHAnsi" w:cstheme="majorHAnsi"/>
          <w:sz w:val="22"/>
          <w:szCs w:val="22"/>
          <w:lang w:val="en-GB"/>
        </w:rPr>
        <w:t xml:space="preserve"> turn</w:t>
      </w:r>
      <w:r>
        <w:rPr>
          <w:rFonts w:asciiTheme="majorHAnsi" w:hAnsiTheme="majorHAnsi" w:cstheme="majorHAnsi"/>
          <w:sz w:val="22"/>
          <w:szCs w:val="22"/>
          <w:lang w:val="en-GB"/>
        </w:rPr>
        <w:t xml:space="preserve">s </w:t>
      </w:r>
      <w:r w:rsidRPr="0023485C">
        <w:rPr>
          <w:rFonts w:asciiTheme="majorHAnsi" w:hAnsiTheme="majorHAnsi" w:cstheme="majorHAnsi"/>
          <w:sz w:val="22"/>
          <w:szCs w:val="22"/>
          <w:lang w:val="en-GB"/>
        </w:rPr>
        <w:t xml:space="preserve">over </w:t>
      </w:r>
      <w:r>
        <w:rPr>
          <w:rFonts w:asciiTheme="majorHAnsi" w:hAnsiTheme="majorHAnsi" w:cstheme="majorHAnsi"/>
          <w:sz w:val="22"/>
          <w:szCs w:val="22"/>
          <w:lang w:val="en-GB"/>
        </w:rPr>
        <w:t xml:space="preserve">USD </w:t>
      </w:r>
      <w:r w:rsidRPr="0023485C">
        <w:rPr>
          <w:rFonts w:asciiTheme="majorHAnsi" w:hAnsiTheme="majorHAnsi" w:cstheme="majorHAnsi"/>
          <w:sz w:val="22"/>
          <w:szCs w:val="22"/>
          <w:lang w:val="en-GB"/>
        </w:rPr>
        <w:t>53.4 million.  Both port</w:t>
      </w:r>
      <w:r>
        <w:rPr>
          <w:rFonts w:asciiTheme="majorHAnsi" w:hAnsiTheme="majorHAnsi" w:cstheme="majorHAnsi"/>
          <w:sz w:val="22"/>
          <w:szCs w:val="22"/>
          <w:lang w:val="en-GB"/>
        </w:rPr>
        <w:t>s</w:t>
      </w:r>
      <w:r w:rsidRPr="0023485C">
        <w:rPr>
          <w:rFonts w:asciiTheme="majorHAnsi" w:hAnsiTheme="majorHAnsi" w:cstheme="majorHAnsi"/>
          <w:sz w:val="22"/>
          <w:szCs w:val="22"/>
          <w:lang w:val="en-GB"/>
        </w:rPr>
        <w:t xml:space="preserve"> deliver multiple services </w:t>
      </w:r>
      <w:r>
        <w:rPr>
          <w:rFonts w:asciiTheme="majorHAnsi" w:hAnsiTheme="majorHAnsi" w:cstheme="majorHAnsi"/>
          <w:sz w:val="22"/>
          <w:szCs w:val="22"/>
          <w:lang w:val="en-GB"/>
        </w:rPr>
        <w:t xml:space="preserve">including </w:t>
      </w:r>
      <w:r w:rsidRPr="0023485C">
        <w:rPr>
          <w:rFonts w:asciiTheme="majorHAnsi" w:hAnsiTheme="majorHAnsi" w:cstheme="majorHAnsi"/>
          <w:sz w:val="22"/>
          <w:szCs w:val="22"/>
          <w:lang w:val="en-GB"/>
        </w:rPr>
        <w:t>commercial</w:t>
      </w:r>
      <w:r>
        <w:rPr>
          <w:rFonts w:asciiTheme="majorHAnsi" w:hAnsiTheme="majorHAnsi" w:cstheme="majorHAnsi"/>
          <w:sz w:val="22"/>
          <w:szCs w:val="22"/>
          <w:lang w:val="en-GB"/>
        </w:rPr>
        <w:t xml:space="preserve"> and</w:t>
      </w:r>
      <w:r w:rsidRPr="0023485C">
        <w:rPr>
          <w:rFonts w:asciiTheme="majorHAnsi" w:hAnsiTheme="majorHAnsi" w:cstheme="majorHAnsi"/>
          <w:sz w:val="22"/>
          <w:szCs w:val="22"/>
          <w:lang w:val="en-GB"/>
        </w:rPr>
        <w:t xml:space="preserve"> cruise </w:t>
      </w:r>
      <w:r>
        <w:rPr>
          <w:rFonts w:asciiTheme="majorHAnsi" w:hAnsiTheme="majorHAnsi" w:cstheme="majorHAnsi"/>
          <w:sz w:val="22"/>
          <w:szCs w:val="22"/>
          <w:lang w:val="en-GB"/>
        </w:rPr>
        <w:t>business</w:t>
      </w:r>
      <w:r w:rsidRPr="0023485C">
        <w:rPr>
          <w:rFonts w:asciiTheme="majorHAnsi" w:hAnsiTheme="majorHAnsi" w:cstheme="majorHAnsi"/>
          <w:sz w:val="22"/>
          <w:szCs w:val="22"/>
          <w:lang w:val="en-GB"/>
        </w:rPr>
        <w:t>. Both ports have development plans</w:t>
      </w:r>
      <w:r>
        <w:rPr>
          <w:rFonts w:asciiTheme="majorHAnsi" w:hAnsiTheme="majorHAnsi" w:cstheme="majorHAnsi"/>
          <w:sz w:val="22"/>
          <w:szCs w:val="22"/>
          <w:lang w:val="en-GB"/>
        </w:rPr>
        <w:t>,</w:t>
      </w:r>
      <w:r w:rsidRPr="0023485C">
        <w:rPr>
          <w:rFonts w:asciiTheme="majorHAnsi" w:hAnsiTheme="majorHAnsi" w:cstheme="majorHAnsi"/>
          <w:sz w:val="22"/>
          <w:szCs w:val="22"/>
          <w:lang w:val="en-GB"/>
        </w:rPr>
        <w:t xml:space="preserve"> </w:t>
      </w:r>
      <w:r>
        <w:rPr>
          <w:rFonts w:asciiTheme="majorHAnsi" w:hAnsiTheme="majorHAnsi" w:cstheme="majorHAnsi"/>
          <w:sz w:val="22"/>
          <w:szCs w:val="22"/>
          <w:lang w:val="en-GB"/>
        </w:rPr>
        <w:t xml:space="preserve">which aim </w:t>
      </w:r>
      <w:r w:rsidRPr="0023485C">
        <w:rPr>
          <w:rFonts w:asciiTheme="majorHAnsi" w:hAnsiTheme="majorHAnsi" w:cstheme="majorHAnsi"/>
          <w:sz w:val="22"/>
          <w:szCs w:val="22"/>
          <w:lang w:val="en-GB"/>
        </w:rPr>
        <w:t xml:space="preserve">to be more sustainable and to </w:t>
      </w:r>
      <w:r>
        <w:rPr>
          <w:rFonts w:asciiTheme="majorHAnsi" w:hAnsiTheme="majorHAnsi" w:cstheme="majorHAnsi"/>
          <w:sz w:val="22"/>
          <w:szCs w:val="22"/>
          <w:lang w:val="en-GB"/>
        </w:rPr>
        <w:t>benefit from</w:t>
      </w:r>
      <w:r w:rsidRPr="0023485C">
        <w:rPr>
          <w:rFonts w:asciiTheme="majorHAnsi" w:hAnsiTheme="majorHAnsi" w:cstheme="majorHAnsi"/>
          <w:sz w:val="22"/>
          <w:szCs w:val="22"/>
          <w:lang w:val="en-GB"/>
        </w:rPr>
        <w:t xml:space="preserve"> the latest updates </w:t>
      </w:r>
      <w:r>
        <w:rPr>
          <w:rFonts w:asciiTheme="majorHAnsi" w:hAnsiTheme="majorHAnsi" w:cstheme="majorHAnsi"/>
          <w:sz w:val="22"/>
          <w:szCs w:val="22"/>
          <w:lang w:val="en-GB"/>
        </w:rPr>
        <w:t>in</w:t>
      </w:r>
      <w:r w:rsidRPr="0023485C">
        <w:rPr>
          <w:rFonts w:asciiTheme="majorHAnsi" w:hAnsiTheme="majorHAnsi" w:cstheme="majorHAnsi"/>
          <w:sz w:val="22"/>
          <w:szCs w:val="22"/>
          <w:lang w:val="en-GB"/>
        </w:rPr>
        <w:t xml:space="preserve"> the port industry</w:t>
      </w:r>
      <w:r>
        <w:rPr>
          <w:rFonts w:asciiTheme="majorHAnsi" w:hAnsiTheme="majorHAnsi" w:cstheme="majorHAnsi"/>
          <w:sz w:val="22"/>
          <w:szCs w:val="22"/>
          <w:lang w:val="en-GB"/>
        </w:rPr>
        <w:t>,</w:t>
      </w:r>
      <w:r w:rsidRPr="0023485C">
        <w:rPr>
          <w:rFonts w:asciiTheme="majorHAnsi" w:hAnsiTheme="majorHAnsi" w:cstheme="majorHAnsi"/>
          <w:sz w:val="22"/>
          <w:szCs w:val="22"/>
          <w:lang w:val="en-GB"/>
        </w:rPr>
        <w:t xml:space="preserve"> and both ports want to succeed </w:t>
      </w:r>
      <w:r>
        <w:rPr>
          <w:rFonts w:asciiTheme="majorHAnsi" w:hAnsiTheme="majorHAnsi" w:cstheme="majorHAnsi"/>
          <w:sz w:val="22"/>
          <w:szCs w:val="22"/>
          <w:lang w:val="en-GB"/>
        </w:rPr>
        <w:t xml:space="preserve">through becoming more </w:t>
      </w:r>
      <w:r w:rsidRPr="0023485C">
        <w:rPr>
          <w:rFonts w:asciiTheme="majorHAnsi" w:hAnsiTheme="majorHAnsi" w:cstheme="majorHAnsi"/>
          <w:sz w:val="22"/>
          <w:szCs w:val="22"/>
          <w:lang w:val="en-GB"/>
        </w:rPr>
        <w:t>sustainab</w:t>
      </w:r>
      <w:r>
        <w:rPr>
          <w:rFonts w:asciiTheme="majorHAnsi" w:hAnsiTheme="majorHAnsi" w:cstheme="majorHAnsi"/>
          <w:sz w:val="22"/>
          <w:szCs w:val="22"/>
          <w:lang w:val="en-GB"/>
        </w:rPr>
        <w:t>le</w:t>
      </w:r>
      <w:r w:rsidRPr="0023485C">
        <w:rPr>
          <w:rFonts w:asciiTheme="majorHAnsi" w:hAnsiTheme="majorHAnsi" w:cstheme="majorHAnsi"/>
          <w:sz w:val="22"/>
          <w:szCs w:val="22"/>
          <w:lang w:val="en-GB"/>
        </w:rPr>
        <w:t>.</w:t>
      </w:r>
    </w:p>
    <w:p w14:paraId="1DE22354" w14:textId="77777777" w:rsidR="00E36957" w:rsidRPr="0023485C" w:rsidRDefault="00E36957" w:rsidP="00E36957">
      <w:pPr>
        <w:shd w:val="clear" w:color="auto" w:fill="FFFFFF"/>
        <w:spacing w:line="259" w:lineRule="auto"/>
        <w:jc w:val="both"/>
        <w:rPr>
          <w:rFonts w:asciiTheme="majorHAnsi" w:hAnsiTheme="majorHAnsi" w:cstheme="majorHAnsi"/>
          <w:sz w:val="22"/>
          <w:szCs w:val="22"/>
          <w:lang w:val="en-GB"/>
        </w:rPr>
      </w:pPr>
    </w:p>
    <w:p w14:paraId="71A83303" w14:textId="77777777" w:rsidR="00E36957" w:rsidRDefault="002468E0" w:rsidP="00E36957">
      <w:pPr>
        <w:spacing w:line="259" w:lineRule="auto"/>
        <w:jc w:val="both"/>
        <w:rPr>
          <w:rFonts w:asciiTheme="majorHAnsi" w:eastAsia="Times New Roman" w:hAnsiTheme="majorHAnsi" w:cstheme="majorHAnsi"/>
          <w:color w:val="FF0000"/>
          <w:sz w:val="22"/>
          <w:szCs w:val="22"/>
          <w:lang w:val="en-GB"/>
        </w:rPr>
      </w:pPr>
      <w:r w:rsidRPr="0023485C">
        <w:rPr>
          <w:rFonts w:asciiTheme="majorHAnsi" w:eastAsia="Times New Roman" w:hAnsiTheme="majorHAnsi" w:cstheme="majorHAnsi"/>
          <w:color w:val="000000"/>
          <w:sz w:val="22"/>
          <w:szCs w:val="22"/>
          <w:shd w:val="clear" w:color="auto" w:fill="FFFFFF"/>
          <w:lang w:val="en-GB"/>
        </w:rPr>
        <w:t xml:space="preserve">Antalya is one of the </w:t>
      </w:r>
      <w:r>
        <w:rPr>
          <w:rFonts w:asciiTheme="majorHAnsi" w:eastAsia="Times New Roman" w:hAnsiTheme="majorHAnsi" w:cstheme="majorHAnsi"/>
          <w:color w:val="000000"/>
          <w:sz w:val="22"/>
          <w:szCs w:val="22"/>
          <w:shd w:val="clear" w:color="auto" w:fill="FFFFFF"/>
          <w:lang w:val="en-GB"/>
        </w:rPr>
        <w:t>most desirable</w:t>
      </w:r>
      <w:r w:rsidRPr="0023485C">
        <w:rPr>
          <w:rFonts w:asciiTheme="majorHAnsi" w:eastAsia="Times New Roman" w:hAnsiTheme="majorHAnsi" w:cstheme="majorHAnsi"/>
          <w:color w:val="000000"/>
          <w:sz w:val="22"/>
          <w:szCs w:val="22"/>
          <w:shd w:val="clear" w:color="auto" w:fill="FFFFFF"/>
          <w:lang w:val="en-GB"/>
        </w:rPr>
        <w:t xml:space="preserve"> cities in Turkey </w:t>
      </w:r>
      <w:r>
        <w:rPr>
          <w:rFonts w:asciiTheme="majorHAnsi" w:eastAsia="Times New Roman" w:hAnsiTheme="majorHAnsi" w:cstheme="majorHAnsi"/>
          <w:color w:val="000000"/>
          <w:sz w:val="22"/>
          <w:szCs w:val="22"/>
          <w:shd w:val="clear" w:color="auto" w:fill="FFFFFF"/>
          <w:lang w:val="en-GB"/>
        </w:rPr>
        <w:t xml:space="preserve">and has seen </w:t>
      </w:r>
      <w:r w:rsidRPr="0023485C">
        <w:rPr>
          <w:rFonts w:asciiTheme="majorHAnsi" w:eastAsia="Times New Roman" w:hAnsiTheme="majorHAnsi" w:cstheme="majorHAnsi"/>
          <w:color w:val="000000"/>
          <w:sz w:val="22"/>
          <w:szCs w:val="22"/>
          <w:shd w:val="clear" w:color="auto" w:fill="FFFFFF"/>
          <w:lang w:val="en-GB"/>
        </w:rPr>
        <w:t xml:space="preserve">remarkable improvements </w:t>
      </w:r>
      <w:r>
        <w:rPr>
          <w:rFonts w:asciiTheme="majorHAnsi" w:eastAsia="Times New Roman" w:hAnsiTheme="majorHAnsi" w:cstheme="majorHAnsi"/>
          <w:color w:val="000000"/>
          <w:sz w:val="22"/>
          <w:szCs w:val="22"/>
          <w:shd w:val="clear" w:color="auto" w:fill="FFFFFF"/>
          <w:lang w:val="en-GB"/>
        </w:rPr>
        <w:t xml:space="preserve">attracting </w:t>
      </w:r>
      <w:r w:rsidRPr="0023485C">
        <w:rPr>
          <w:rFonts w:asciiTheme="majorHAnsi" w:eastAsia="Times New Roman" w:hAnsiTheme="majorHAnsi" w:cstheme="majorHAnsi"/>
          <w:color w:val="000000"/>
          <w:sz w:val="22"/>
          <w:szCs w:val="22"/>
          <w:shd w:val="clear" w:color="auto" w:fill="FFFFFF"/>
          <w:lang w:val="en-GB"/>
        </w:rPr>
        <w:t xml:space="preserve">tourists </w:t>
      </w:r>
      <w:r>
        <w:rPr>
          <w:rFonts w:asciiTheme="majorHAnsi" w:eastAsia="Times New Roman" w:hAnsiTheme="majorHAnsi" w:cstheme="majorHAnsi"/>
          <w:color w:val="000000"/>
          <w:sz w:val="22"/>
          <w:szCs w:val="22"/>
          <w:shd w:val="clear" w:color="auto" w:fill="FFFFFF"/>
          <w:lang w:val="en-GB"/>
        </w:rPr>
        <w:t xml:space="preserve">from </w:t>
      </w:r>
      <w:r w:rsidRPr="0023485C">
        <w:rPr>
          <w:rFonts w:asciiTheme="majorHAnsi" w:eastAsia="Times New Roman" w:hAnsiTheme="majorHAnsi" w:cstheme="majorHAnsi"/>
          <w:color w:val="000000"/>
          <w:sz w:val="22"/>
          <w:szCs w:val="22"/>
          <w:shd w:val="clear" w:color="auto" w:fill="FFFFFF"/>
          <w:lang w:val="en-GB"/>
        </w:rPr>
        <w:t xml:space="preserve">around the world </w:t>
      </w:r>
      <w:r>
        <w:rPr>
          <w:rFonts w:asciiTheme="majorHAnsi" w:eastAsia="Times New Roman" w:hAnsiTheme="majorHAnsi" w:cstheme="majorHAnsi"/>
          <w:color w:val="000000"/>
          <w:sz w:val="22"/>
          <w:szCs w:val="22"/>
          <w:shd w:val="clear" w:color="auto" w:fill="FFFFFF"/>
          <w:lang w:val="en-GB"/>
        </w:rPr>
        <w:t>with its</w:t>
      </w:r>
      <w:r w:rsidRPr="0023485C">
        <w:rPr>
          <w:rFonts w:asciiTheme="majorHAnsi" w:eastAsia="Times New Roman" w:hAnsiTheme="majorHAnsi" w:cstheme="majorHAnsi"/>
          <w:color w:val="000000"/>
          <w:sz w:val="22"/>
          <w:szCs w:val="22"/>
          <w:shd w:val="clear" w:color="auto" w:fill="FFFFFF"/>
          <w:lang w:val="en-GB"/>
        </w:rPr>
        <w:t xml:space="preserve"> natural beaches. Port </w:t>
      </w:r>
      <w:proofErr w:type="spellStart"/>
      <w:r w:rsidRPr="0023485C">
        <w:rPr>
          <w:rFonts w:asciiTheme="majorHAnsi" w:eastAsia="Times New Roman" w:hAnsiTheme="majorHAnsi" w:cstheme="majorHAnsi"/>
          <w:color w:val="000000"/>
          <w:sz w:val="22"/>
          <w:szCs w:val="22"/>
          <w:shd w:val="clear" w:color="auto" w:fill="FFFFFF"/>
          <w:lang w:val="en-GB"/>
        </w:rPr>
        <w:t>Akdeniz</w:t>
      </w:r>
      <w:proofErr w:type="spellEnd"/>
      <w:r w:rsidRPr="0023485C">
        <w:rPr>
          <w:rFonts w:asciiTheme="majorHAnsi" w:eastAsia="Times New Roman" w:hAnsiTheme="majorHAnsi" w:cstheme="majorHAnsi"/>
          <w:color w:val="000000"/>
          <w:sz w:val="22"/>
          <w:szCs w:val="22"/>
          <w:shd w:val="clear" w:color="auto" w:fill="FFFFFF"/>
          <w:lang w:val="en-GB"/>
        </w:rPr>
        <w:t xml:space="preserve"> is one of the main actors in these improvements</w:t>
      </w:r>
      <w:r>
        <w:rPr>
          <w:rFonts w:asciiTheme="majorHAnsi" w:eastAsia="Times New Roman" w:hAnsiTheme="majorHAnsi" w:cstheme="majorHAnsi"/>
          <w:color w:val="000000"/>
          <w:sz w:val="22"/>
          <w:szCs w:val="22"/>
          <w:shd w:val="clear" w:color="auto" w:fill="FFFFFF"/>
          <w:lang w:val="en-GB"/>
        </w:rPr>
        <w:t xml:space="preserve">, </w:t>
      </w:r>
      <w:r w:rsidRPr="0023485C">
        <w:rPr>
          <w:rFonts w:asciiTheme="majorHAnsi" w:eastAsia="Times New Roman" w:hAnsiTheme="majorHAnsi" w:cstheme="majorHAnsi"/>
          <w:color w:val="000000"/>
          <w:sz w:val="22"/>
          <w:szCs w:val="22"/>
          <w:shd w:val="clear" w:color="auto" w:fill="FFFFFF"/>
          <w:lang w:val="en-GB"/>
        </w:rPr>
        <w:t>delivering a quality service to its customer</w:t>
      </w:r>
      <w:r>
        <w:rPr>
          <w:rFonts w:asciiTheme="majorHAnsi" w:eastAsia="Times New Roman" w:hAnsiTheme="majorHAnsi" w:cstheme="majorHAnsi"/>
          <w:color w:val="000000"/>
          <w:sz w:val="22"/>
          <w:szCs w:val="22"/>
          <w:shd w:val="clear" w:color="auto" w:fill="FFFFFF"/>
          <w:lang w:val="en-GB"/>
        </w:rPr>
        <w:t>s</w:t>
      </w:r>
      <w:r w:rsidRPr="0023485C">
        <w:rPr>
          <w:rFonts w:asciiTheme="majorHAnsi" w:eastAsia="Times New Roman" w:hAnsiTheme="majorHAnsi" w:cstheme="majorHAnsi"/>
          <w:color w:val="000000"/>
          <w:sz w:val="22"/>
          <w:szCs w:val="22"/>
          <w:shd w:val="clear" w:color="auto" w:fill="FFFFFF"/>
          <w:lang w:val="en-GB"/>
        </w:rPr>
        <w:t xml:space="preserve"> as </w:t>
      </w:r>
      <w:r>
        <w:rPr>
          <w:rFonts w:asciiTheme="majorHAnsi" w:eastAsia="Times New Roman" w:hAnsiTheme="majorHAnsi" w:cstheme="majorHAnsi"/>
          <w:color w:val="000000"/>
          <w:sz w:val="22"/>
          <w:szCs w:val="22"/>
          <w:shd w:val="clear" w:color="auto" w:fill="FFFFFF"/>
          <w:lang w:val="en-GB"/>
        </w:rPr>
        <w:t>a</w:t>
      </w:r>
      <w:r w:rsidRPr="0023485C">
        <w:rPr>
          <w:rFonts w:asciiTheme="majorHAnsi" w:eastAsia="Times New Roman" w:hAnsiTheme="majorHAnsi" w:cstheme="majorHAnsi"/>
          <w:color w:val="000000"/>
          <w:sz w:val="22"/>
          <w:szCs w:val="22"/>
          <w:shd w:val="clear" w:color="auto" w:fill="FFFFFF"/>
          <w:lang w:val="en-GB"/>
        </w:rPr>
        <w:t xml:space="preserve"> cruise port and dry bulk port. To deliver more quality service as commercial and cruise port, Global Investment Holdings (</w:t>
      </w:r>
      <w:r>
        <w:rPr>
          <w:rFonts w:asciiTheme="majorHAnsi" w:eastAsia="Times New Roman" w:hAnsiTheme="majorHAnsi" w:cstheme="majorHAnsi"/>
          <w:color w:val="000000"/>
          <w:sz w:val="22"/>
          <w:szCs w:val="22"/>
          <w:shd w:val="clear" w:color="auto" w:fill="FFFFFF"/>
          <w:lang w:val="en-GB"/>
        </w:rPr>
        <w:t xml:space="preserve">GIH, the </w:t>
      </w:r>
      <w:r w:rsidRPr="0023485C">
        <w:rPr>
          <w:rFonts w:asciiTheme="majorHAnsi" w:eastAsia="Times New Roman" w:hAnsiTheme="majorHAnsi" w:cstheme="majorHAnsi"/>
          <w:color w:val="000000"/>
          <w:sz w:val="22"/>
          <w:szCs w:val="22"/>
          <w:shd w:val="clear" w:color="auto" w:fill="FFFFFF"/>
          <w:lang w:val="en-GB"/>
        </w:rPr>
        <w:t xml:space="preserve">owner of the port), made big investments to increase the port capacity of </w:t>
      </w:r>
      <w:r>
        <w:rPr>
          <w:rFonts w:asciiTheme="majorHAnsi" w:eastAsia="Times New Roman" w:hAnsiTheme="majorHAnsi" w:cstheme="majorHAnsi"/>
          <w:color w:val="000000"/>
          <w:sz w:val="22"/>
          <w:szCs w:val="22"/>
          <w:shd w:val="clear" w:color="auto" w:fill="FFFFFF"/>
          <w:lang w:val="en-GB"/>
        </w:rPr>
        <w:t xml:space="preserve">the </w:t>
      </w:r>
      <w:r w:rsidRPr="0023485C">
        <w:rPr>
          <w:rFonts w:asciiTheme="majorHAnsi" w:eastAsia="Times New Roman" w:hAnsiTheme="majorHAnsi" w:cstheme="majorHAnsi"/>
          <w:color w:val="000000"/>
          <w:sz w:val="22"/>
          <w:szCs w:val="22"/>
          <w:shd w:val="clear" w:color="auto" w:fill="FFFFFF"/>
          <w:lang w:val="en-GB"/>
        </w:rPr>
        <w:t xml:space="preserve">Port </w:t>
      </w:r>
      <w:r>
        <w:rPr>
          <w:rFonts w:asciiTheme="majorHAnsi" w:eastAsia="Times New Roman" w:hAnsiTheme="majorHAnsi" w:cstheme="majorHAnsi"/>
          <w:color w:val="000000"/>
          <w:sz w:val="22"/>
          <w:szCs w:val="22"/>
          <w:shd w:val="clear" w:color="auto" w:fill="FFFFFF"/>
          <w:lang w:val="en-GB"/>
        </w:rPr>
        <w:t xml:space="preserve">of </w:t>
      </w:r>
      <w:proofErr w:type="spellStart"/>
      <w:r w:rsidRPr="0023485C">
        <w:rPr>
          <w:rFonts w:asciiTheme="majorHAnsi" w:eastAsia="Times New Roman" w:hAnsiTheme="majorHAnsi" w:cstheme="majorHAnsi"/>
          <w:color w:val="000000"/>
          <w:sz w:val="22"/>
          <w:szCs w:val="22"/>
          <w:shd w:val="clear" w:color="auto" w:fill="FFFFFF"/>
          <w:lang w:val="en-GB"/>
        </w:rPr>
        <w:t>Akdeniz</w:t>
      </w:r>
      <w:proofErr w:type="spellEnd"/>
      <w:r w:rsidRPr="0023485C">
        <w:rPr>
          <w:rFonts w:asciiTheme="majorHAnsi" w:eastAsia="Times New Roman" w:hAnsiTheme="majorHAnsi" w:cstheme="majorHAnsi"/>
          <w:color w:val="000000"/>
          <w:sz w:val="22"/>
          <w:szCs w:val="22"/>
          <w:shd w:val="clear" w:color="auto" w:fill="FFFFFF"/>
          <w:lang w:val="en-GB"/>
        </w:rPr>
        <w:t>. With the investment the whole marine area is approximately 136,000 m</w:t>
      </w:r>
      <w:r w:rsidRPr="00947CCF">
        <w:rPr>
          <w:rFonts w:asciiTheme="majorHAnsi" w:eastAsia="Times New Roman" w:hAnsiTheme="majorHAnsi" w:cstheme="majorHAnsi"/>
          <w:color w:val="000000"/>
          <w:sz w:val="22"/>
          <w:szCs w:val="22"/>
          <w:shd w:val="clear" w:color="auto" w:fill="FFFFFF"/>
          <w:vertAlign w:val="superscript"/>
          <w:lang w:val="en-GB"/>
        </w:rPr>
        <w:t>2</w:t>
      </w:r>
      <w:r w:rsidRPr="0023485C">
        <w:rPr>
          <w:rFonts w:asciiTheme="majorHAnsi" w:eastAsia="Times New Roman" w:hAnsiTheme="majorHAnsi" w:cstheme="majorHAnsi"/>
          <w:color w:val="000000"/>
          <w:sz w:val="22"/>
          <w:szCs w:val="22"/>
          <w:shd w:val="clear" w:color="auto" w:fill="FFFFFF"/>
          <w:lang w:val="en-GB"/>
        </w:rPr>
        <w:t xml:space="preserve"> (</w:t>
      </w:r>
      <w:proofErr w:type="spellStart"/>
      <w:r w:rsidRPr="0023485C">
        <w:rPr>
          <w:rFonts w:asciiTheme="majorHAnsi" w:eastAsia="Times New Roman" w:hAnsiTheme="majorHAnsi" w:cstheme="majorHAnsi"/>
          <w:color w:val="000000"/>
          <w:sz w:val="22"/>
          <w:szCs w:val="22"/>
          <w:shd w:val="clear" w:color="auto" w:fill="FFFFFF"/>
          <w:lang w:val="en-GB"/>
        </w:rPr>
        <w:t>Çaglayan</w:t>
      </w:r>
      <w:proofErr w:type="spellEnd"/>
      <w:r w:rsidRPr="0023485C">
        <w:rPr>
          <w:rFonts w:asciiTheme="majorHAnsi" w:eastAsia="Times New Roman" w:hAnsiTheme="majorHAnsi" w:cstheme="majorHAnsi"/>
          <w:color w:val="000000"/>
          <w:sz w:val="22"/>
          <w:szCs w:val="22"/>
          <w:shd w:val="clear" w:color="auto" w:fill="FFFFFF"/>
          <w:lang w:val="en-GB"/>
        </w:rPr>
        <w:t xml:space="preserve">, 2018). </w:t>
      </w:r>
    </w:p>
    <w:p w14:paraId="619F30CA" w14:textId="77777777" w:rsidR="00E36957" w:rsidRDefault="00E36957" w:rsidP="00E36957">
      <w:pPr>
        <w:spacing w:line="259" w:lineRule="auto"/>
        <w:jc w:val="both"/>
        <w:rPr>
          <w:rFonts w:asciiTheme="majorHAnsi" w:eastAsia="Times New Roman" w:hAnsiTheme="majorHAnsi" w:cstheme="majorHAnsi"/>
          <w:color w:val="FF0000"/>
          <w:sz w:val="22"/>
          <w:szCs w:val="22"/>
          <w:lang w:val="en-GB"/>
        </w:rPr>
      </w:pPr>
    </w:p>
    <w:p w14:paraId="2A4B79CB" w14:textId="331F8ED9" w:rsidR="002468E0" w:rsidRDefault="002468E0" w:rsidP="00E36957">
      <w:pPr>
        <w:spacing w:line="259" w:lineRule="auto"/>
        <w:jc w:val="both"/>
        <w:rPr>
          <w:rFonts w:asciiTheme="majorHAnsi" w:eastAsia="Times New Roman" w:hAnsiTheme="majorHAnsi" w:cstheme="majorHAnsi"/>
          <w:sz w:val="22"/>
          <w:szCs w:val="22"/>
          <w:shd w:val="clear" w:color="auto" w:fill="FFFFFF"/>
          <w:lang w:val="en-GB"/>
        </w:rPr>
      </w:pPr>
      <w:r w:rsidRPr="0023485C">
        <w:rPr>
          <w:rFonts w:asciiTheme="majorHAnsi" w:eastAsia="Times New Roman" w:hAnsiTheme="majorHAnsi" w:cstheme="majorHAnsi"/>
          <w:sz w:val="22"/>
          <w:szCs w:val="22"/>
          <w:shd w:val="clear" w:color="auto" w:fill="FFFFFF"/>
          <w:lang w:val="en-GB"/>
        </w:rPr>
        <w:t xml:space="preserve">Poole has one </w:t>
      </w:r>
      <w:r>
        <w:rPr>
          <w:rFonts w:asciiTheme="majorHAnsi" w:eastAsia="Times New Roman" w:hAnsiTheme="majorHAnsi" w:cstheme="majorHAnsi"/>
          <w:sz w:val="22"/>
          <w:szCs w:val="22"/>
          <w:shd w:val="clear" w:color="auto" w:fill="FFFFFF"/>
          <w:lang w:val="en-GB"/>
        </w:rPr>
        <w:t xml:space="preserve">of </w:t>
      </w:r>
      <w:r w:rsidRPr="0023485C">
        <w:rPr>
          <w:rFonts w:asciiTheme="majorHAnsi" w:eastAsia="Times New Roman" w:hAnsiTheme="majorHAnsi" w:cstheme="majorHAnsi"/>
          <w:sz w:val="22"/>
          <w:szCs w:val="22"/>
          <w:shd w:val="clear" w:color="auto" w:fill="FFFFFF"/>
          <w:lang w:val="en-GB"/>
        </w:rPr>
        <w:t xml:space="preserve">the </w:t>
      </w:r>
      <w:r>
        <w:rPr>
          <w:rFonts w:asciiTheme="majorHAnsi" w:eastAsia="Times New Roman" w:hAnsiTheme="majorHAnsi" w:cstheme="majorHAnsi"/>
          <w:sz w:val="22"/>
          <w:szCs w:val="22"/>
          <w:shd w:val="clear" w:color="auto" w:fill="FFFFFF"/>
          <w:lang w:val="en-GB"/>
        </w:rPr>
        <w:t>largest</w:t>
      </w:r>
      <w:r w:rsidRPr="0023485C">
        <w:rPr>
          <w:rFonts w:asciiTheme="majorHAnsi" w:eastAsia="Times New Roman" w:hAnsiTheme="majorHAnsi" w:cstheme="majorHAnsi"/>
          <w:sz w:val="22"/>
          <w:szCs w:val="22"/>
          <w:shd w:val="clear" w:color="auto" w:fill="FFFFFF"/>
          <w:lang w:val="en-GB"/>
        </w:rPr>
        <w:t xml:space="preserve"> natural harbours and deliver</w:t>
      </w:r>
      <w:r>
        <w:rPr>
          <w:rFonts w:asciiTheme="majorHAnsi" w:eastAsia="Times New Roman" w:hAnsiTheme="majorHAnsi" w:cstheme="majorHAnsi"/>
          <w:sz w:val="22"/>
          <w:szCs w:val="22"/>
          <w:shd w:val="clear" w:color="auto" w:fill="FFFFFF"/>
          <w:lang w:val="en-GB"/>
        </w:rPr>
        <w:t>s</w:t>
      </w:r>
      <w:r w:rsidRPr="0023485C">
        <w:rPr>
          <w:rFonts w:asciiTheme="majorHAnsi" w:eastAsia="Times New Roman" w:hAnsiTheme="majorHAnsi" w:cstheme="majorHAnsi"/>
          <w:sz w:val="22"/>
          <w:szCs w:val="22"/>
          <w:shd w:val="clear" w:color="auto" w:fill="FFFFFF"/>
          <w:lang w:val="en-GB"/>
        </w:rPr>
        <w:t xml:space="preserve"> several services in a conflicting interests situation </w:t>
      </w:r>
      <w:r>
        <w:rPr>
          <w:rFonts w:asciiTheme="majorHAnsi" w:eastAsia="Times New Roman" w:hAnsiTheme="majorHAnsi" w:cstheme="majorHAnsi"/>
          <w:sz w:val="22"/>
          <w:szCs w:val="22"/>
          <w:shd w:val="clear" w:color="auto" w:fill="FFFFFF"/>
          <w:lang w:val="en-GB"/>
        </w:rPr>
        <w:t>involving</w:t>
      </w:r>
      <w:r w:rsidRPr="0023485C">
        <w:rPr>
          <w:rFonts w:asciiTheme="majorHAnsi" w:eastAsia="Times New Roman" w:hAnsiTheme="majorHAnsi" w:cstheme="majorHAnsi"/>
          <w:sz w:val="22"/>
          <w:szCs w:val="22"/>
          <w:shd w:val="clear" w:color="auto" w:fill="FFFFFF"/>
          <w:lang w:val="en-GB"/>
        </w:rPr>
        <w:t xml:space="preserve"> commercial, recreational, military and environmental </w:t>
      </w:r>
      <w:r>
        <w:rPr>
          <w:rFonts w:asciiTheme="majorHAnsi" w:eastAsia="Times New Roman" w:hAnsiTheme="majorHAnsi" w:cstheme="majorHAnsi"/>
          <w:sz w:val="22"/>
          <w:szCs w:val="22"/>
          <w:shd w:val="clear" w:color="auto" w:fill="FFFFFF"/>
          <w:lang w:val="en-GB"/>
        </w:rPr>
        <w:t xml:space="preserve">dimensions, </w:t>
      </w:r>
      <w:r w:rsidRPr="0023485C">
        <w:rPr>
          <w:rFonts w:asciiTheme="majorHAnsi" w:eastAsia="Times New Roman" w:hAnsiTheme="majorHAnsi" w:cstheme="majorHAnsi"/>
          <w:sz w:val="22"/>
          <w:szCs w:val="22"/>
          <w:shd w:val="clear" w:color="auto" w:fill="FFFFFF"/>
          <w:lang w:val="en-GB"/>
        </w:rPr>
        <w:t xml:space="preserve">and also has a significant importance for nature conservation, </w:t>
      </w:r>
      <w:r>
        <w:rPr>
          <w:rFonts w:asciiTheme="majorHAnsi" w:eastAsia="Times New Roman" w:hAnsiTheme="majorHAnsi" w:cstheme="majorHAnsi"/>
          <w:sz w:val="22"/>
          <w:szCs w:val="22"/>
          <w:shd w:val="clear" w:color="auto" w:fill="FFFFFF"/>
          <w:lang w:val="en-GB"/>
        </w:rPr>
        <w:t xml:space="preserve">as </w:t>
      </w:r>
      <w:r w:rsidRPr="0023485C">
        <w:rPr>
          <w:rFonts w:asciiTheme="majorHAnsi" w:eastAsia="Times New Roman" w:hAnsiTheme="majorHAnsi" w:cstheme="majorHAnsi"/>
          <w:sz w:val="22"/>
          <w:szCs w:val="22"/>
          <w:shd w:val="clear" w:color="auto" w:fill="FFFFFF"/>
          <w:lang w:val="en-GB"/>
        </w:rPr>
        <w:t xml:space="preserve">most of the foreshore is designated a SPA (Special Protection Area) under the European Habitats Directive and sites around the </w:t>
      </w:r>
      <w:r>
        <w:rPr>
          <w:rFonts w:asciiTheme="majorHAnsi" w:eastAsia="Times New Roman" w:hAnsiTheme="majorHAnsi" w:cstheme="majorHAnsi"/>
          <w:sz w:val="22"/>
          <w:szCs w:val="22"/>
          <w:shd w:val="clear" w:color="auto" w:fill="FFFFFF"/>
          <w:lang w:val="en-GB"/>
        </w:rPr>
        <w:t>h</w:t>
      </w:r>
      <w:r w:rsidRPr="0023485C">
        <w:rPr>
          <w:rFonts w:asciiTheme="majorHAnsi" w:eastAsia="Times New Roman" w:hAnsiTheme="majorHAnsi" w:cstheme="majorHAnsi"/>
          <w:sz w:val="22"/>
          <w:szCs w:val="22"/>
          <w:shd w:val="clear" w:color="auto" w:fill="FFFFFF"/>
          <w:lang w:val="en-GB"/>
        </w:rPr>
        <w:t xml:space="preserve">arbour are also designated as </w:t>
      </w:r>
      <w:r>
        <w:rPr>
          <w:rFonts w:asciiTheme="majorHAnsi" w:eastAsia="Times New Roman" w:hAnsiTheme="majorHAnsi" w:cstheme="majorHAnsi"/>
          <w:sz w:val="22"/>
          <w:szCs w:val="22"/>
          <w:shd w:val="clear" w:color="auto" w:fill="FFFFFF"/>
          <w:lang w:val="en-GB"/>
        </w:rPr>
        <w:t>A</w:t>
      </w:r>
      <w:r w:rsidRPr="0023485C">
        <w:rPr>
          <w:rFonts w:asciiTheme="majorHAnsi" w:eastAsia="Times New Roman" w:hAnsiTheme="majorHAnsi" w:cstheme="majorHAnsi"/>
          <w:sz w:val="22"/>
          <w:szCs w:val="22"/>
          <w:shd w:val="clear" w:color="auto" w:fill="FFFFFF"/>
          <w:lang w:val="en-GB"/>
        </w:rPr>
        <w:t xml:space="preserve">reas of </w:t>
      </w:r>
      <w:r>
        <w:rPr>
          <w:rFonts w:asciiTheme="majorHAnsi" w:eastAsia="Times New Roman" w:hAnsiTheme="majorHAnsi" w:cstheme="majorHAnsi"/>
          <w:sz w:val="22"/>
          <w:szCs w:val="22"/>
          <w:shd w:val="clear" w:color="auto" w:fill="FFFFFF"/>
          <w:lang w:val="en-GB"/>
        </w:rPr>
        <w:t>O</w:t>
      </w:r>
      <w:r w:rsidRPr="0023485C">
        <w:rPr>
          <w:rFonts w:asciiTheme="majorHAnsi" w:eastAsia="Times New Roman" w:hAnsiTheme="majorHAnsi" w:cstheme="majorHAnsi"/>
          <w:sz w:val="22"/>
          <w:szCs w:val="22"/>
          <w:shd w:val="clear" w:color="auto" w:fill="FFFFFF"/>
          <w:lang w:val="en-GB"/>
        </w:rPr>
        <w:t xml:space="preserve">utstanding </w:t>
      </w:r>
      <w:r>
        <w:rPr>
          <w:rFonts w:asciiTheme="majorHAnsi" w:eastAsia="Times New Roman" w:hAnsiTheme="majorHAnsi" w:cstheme="majorHAnsi"/>
          <w:sz w:val="22"/>
          <w:szCs w:val="22"/>
          <w:shd w:val="clear" w:color="auto" w:fill="FFFFFF"/>
          <w:lang w:val="en-GB"/>
        </w:rPr>
        <w:t>N</w:t>
      </w:r>
      <w:r w:rsidRPr="0023485C">
        <w:rPr>
          <w:rFonts w:asciiTheme="majorHAnsi" w:eastAsia="Times New Roman" w:hAnsiTheme="majorHAnsi" w:cstheme="majorHAnsi"/>
          <w:sz w:val="22"/>
          <w:szCs w:val="22"/>
          <w:shd w:val="clear" w:color="auto" w:fill="FFFFFF"/>
          <w:lang w:val="en-GB"/>
        </w:rPr>
        <w:t xml:space="preserve">atural </w:t>
      </w:r>
      <w:r>
        <w:rPr>
          <w:rFonts w:asciiTheme="majorHAnsi" w:eastAsia="Times New Roman" w:hAnsiTheme="majorHAnsi" w:cstheme="majorHAnsi"/>
          <w:sz w:val="22"/>
          <w:szCs w:val="22"/>
          <w:shd w:val="clear" w:color="auto" w:fill="FFFFFF"/>
          <w:lang w:val="en-GB"/>
        </w:rPr>
        <w:t>B</w:t>
      </w:r>
      <w:r w:rsidRPr="0023485C">
        <w:rPr>
          <w:rFonts w:asciiTheme="majorHAnsi" w:eastAsia="Times New Roman" w:hAnsiTheme="majorHAnsi" w:cstheme="majorHAnsi"/>
          <w:sz w:val="22"/>
          <w:szCs w:val="22"/>
          <w:shd w:val="clear" w:color="auto" w:fill="FFFFFF"/>
          <w:lang w:val="en-GB"/>
        </w:rPr>
        <w:t>eauty whilst the southern shores have Heritage Coast status (Phc.co.uk, 2018).</w:t>
      </w:r>
    </w:p>
    <w:p w14:paraId="5CB7F006" w14:textId="77777777" w:rsidR="00E36957" w:rsidRPr="0023485C" w:rsidRDefault="00E36957" w:rsidP="00E36957">
      <w:pPr>
        <w:spacing w:line="259" w:lineRule="auto"/>
        <w:jc w:val="both"/>
        <w:rPr>
          <w:rFonts w:asciiTheme="majorHAnsi" w:eastAsia="Times New Roman" w:hAnsiTheme="majorHAnsi" w:cstheme="majorHAnsi"/>
          <w:sz w:val="22"/>
          <w:szCs w:val="22"/>
          <w:lang w:val="en-GB"/>
        </w:rPr>
      </w:pPr>
    </w:p>
    <w:p w14:paraId="2C8C2D19" w14:textId="77777777" w:rsidR="002468E0" w:rsidRPr="0023485C" w:rsidRDefault="002468E0" w:rsidP="00E36957">
      <w:pPr>
        <w:shd w:val="clear" w:color="auto" w:fill="FFFFFF"/>
        <w:spacing w:line="259" w:lineRule="auto"/>
        <w:jc w:val="both"/>
        <w:rPr>
          <w:rFonts w:asciiTheme="majorHAnsi" w:hAnsiTheme="majorHAnsi" w:cstheme="majorHAnsi"/>
          <w:b/>
          <w:sz w:val="22"/>
          <w:szCs w:val="22"/>
          <w:u w:val="single"/>
          <w:lang w:val="en-GB"/>
        </w:rPr>
      </w:pPr>
      <w:r w:rsidRPr="0023485C">
        <w:rPr>
          <w:rFonts w:asciiTheme="majorHAnsi" w:hAnsiTheme="majorHAnsi" w:cstheme="majorHAnsi"/>
          <w:b/>
          <w:sz w:val="22"/>
          <w:szCs w:val="22"/>
          <w:u w:val="single"/>
          <w:lang w:val="en-GB"/>
        </w:rPr>
        <w:t xml:space="preserve">Methodology </w:t>
      </w:r>
    </w:p>
    <w:p w14:paraId="18AAF572" w14:textId="26274C4D" w:rsidR="002468E0" w:rsidRDefault="002468E0" w:rsidP="00E36957">
      <w:pPr>
        <w:widowControl w:val="0"/>
        <w:autoSpaceDE w:val="0"/>
        <w:autoSpaceDN w:val="0"/>
        <w:adjustRightInd w:val="0"/>
        <w:spacing w:line="259" w:lineRule="auto"/>
        <w:jc w:val="both"/>
        <w:rPr>
          <w:rFonts w:asciiTheme="majorHAnsi" w:hAnsiTheme="majorHAnsi" w:cstheme="majorHAnsi"/>
          <w:sz w:val="22"/>
          <w:szCs w:val="22"/>
          <w:lang w:val="en-GB"/>
        </w:rPr>
      </w:pPr>
      <w:r w:rsidRPr="0023485C">
        <w:rPr>
          <w:rFonts w:asciiTheme="majorHAnsi" w:hAnsiTheme="majorHAnsi" w:cstheme="majorHAnsi"/>
          <w:sz w:val="22"/>
          <w:szCs w:val="22"/>
          <w:lang w:val="en-GB"/>
        </w:rPr>
        <w:t xml:space="preserve">There are numerous ways to </w:t>
      </w:r>
      <w:r>
        <w:rPr>
          <w:rFonts w:asciiTheme="majorHAnsi" w:hAnsiTheme="majorHAnsi" w:cstheme="majorHAnsi"/>
          <w:sz w:val="22"/>
          <w:szCs w:val="22"/>
          <w:lang w:val="en-GB"/>
        </w:rPr>
        <w:t xml:space="preserve">analyse the recordings of </w:t>
      </w:r>
      <w:r w:rsidRPr="0023485C">
        <w:rPr>
          <w:rFonts w:asciiTheme="majorHAnsi" w:hAnsiTheme="majorHAnsi" w:cstheme="majorHAnsi"/>
          <w:sz w:val="22"/>
          <w:szCs w:val="22"/>
          <w:lang w:val="en-GB"/>
        </w:rPr>
        <w:t>interviewe</w:t>
      </w:r>
      <w:r>
        <w:rPr>
          <w:rFonts w:asciiTheme="majorHAnsi" w:hAnsiTheme="majorHAnsi" w:cstheme="majorHAnsi"/>
          <w:sz w:val="22"/>
          <w:szCs w:val="22"/>
          <w:lang w:val="en-GB"/>
        </w:rPr>
        <w:t>es</w:t>
      </w:r>
      <w:r w:rsidRPr="0023485C">
        <w:rPr>
          <w:rFonts w:asciiTheme="majorHAnsi" w:hAnsiTheme="majorHAnsi" w:cstheme="majorHAnsi"/>
          <w:sz w:val="22"/>
          <w:szCs w:val="22"/>
          <w:lang w:val="en-GB"/>
        </w:rPr>
        <w:t xml:space="preserve"> </w:t>
      </w:r>
      <w:r>
        <w:rPr>
          <w:rFonts w:asciiTheme="majorHAnsi" w:hAnsiTheme="majorHAnsi" w:cstheme="majorHAnsi"/>
          <w:sz w:val="22"/>
          <w:szCs w:val="22"/>
          <w:lang w:val="en-GB"/>
        </w:rPr>
        <w:t>discussing</w:t>
      </w:r>
      <w:r w:rsidRPr="0023485C">
        <w:rPr>
          <w:rFonts w:asciiTheme="majorHAnsi" w:hAnsiTheme="majorHAnsi" w:cstheme="majorHAnsi"/>
          <w:sz w:val="22"/>
          <w:szCs w:val="22"/>
          <w:lang w:val="en-GB"/>
        </w:rPr>
        <w:t xml:space="preserve"> their </w:t>
      </w:r>
      <w:r>
        <w:rPr>
          <w:rFonts w:asciiTheme="majorHAnsi" w:hAnsiTheme="majorHAnsi" w:cstheme="majorHAnsi"/>
          <w:sz w:val="22"/>
          <w:szCs w:val="22"/>
          <w:lang w:val="en-GB"/>
        </w:rPr>
        <w:t>various experiences. T</w:t>
      </w:r>
      <w:r w:rsidRPr="0023485C">
        <w:rPr>
          <w:rFonts w:asciiTheme="majorHAnsi" w:hAnsiTheme="majorHAnsi" w:cstheme="majorHAnsi"/>
          <w:sz w:val="22"/>
          <w:szCs w:val="22"/>
          <w:lang w:val="en-GB"/>
        </w:rPr>
        <w:t xml:space="preserve">hematic analysis is </w:t>
      </w:r>
      <w:r>
        <w:rPr>
          <w:rFonts w:asciiTheme="majorHAnsi" w:hAnsiTheme="majorHAnsi" w:cstheme="majorHAnsi"/>
          <w:sz w:val="22"/>
          <w:szCs w:val="22"/>
          <w:lang w:val="en-GB"/>
        </w:rPr>
        <w:t>one such method</w:t>
      </w:r>
      <w:r w:rsidRPr="0023485C">
        <w:rPr>
          <w:rFonts w:asciiTheme="majorHAnsi" w:hAnsiTheme="majorHAnsi" w:cstheme="majorHAnsi"/>
          <w:sz w:val="22"/>
          <w:szCs w:val="22"/>
          <w:lang w:val="en-GB"/>
        </w:rPr>
        <w:t>.</w:t>
      </w:r>
      <w:r>
        <w:rPr>
          <w:rFonts w:asciiTheme="majorHAnsi" w:hAnsiTheme="majorHAnsi" w:cstheme="majorHAnsi"/>
          <w:sz w:val="22"/>
          <w:szCs w:val="22"/>
          <w:lang w:val="en-GB"/>
        </w:rPr>
        <w:t xml:space="preserve"> </w:t>
      </w:r>
      <w:r w:rsidRPr="00535036">
        <w:rPr>
          <w:rFonts w:asciiTheme="majorHAnsi" w:hAnsiTheme="majorHAnsi" w:cstheme="majorHAnsi"/>
          <w:sz w:val="22"/>
          <w:szCs w:val="22"/>
          <w:lang w:val="en-GB"/>
        </w:rPr>
        <w:t xml:space="preserve">Further, research discoveries can result from differing levels of data transformation </w:t>
      </w:r>
      <w:r>
        <w:rPr>
          <w:rFonts w:asciiTheme="majorHAnsi" w:hAnsiTheme="majorHAnsi" w:cstheme="majorHAnsi"/>
          <w:sz w:val="22"/>
          <w:szCs w:val="22"/>
          <w:lang w:val="en-GB"/>
        </w:rPr>
        <w:t xml:space="preserve">undertaken </w:t>
      </w:r>
      <w:r w:rsidRPr="00535036">
        <w:rPr>
          <w:rFonts w:asciiTheme="majorHAnsi" w:hAnsiTheme="majorHAnsi" w:cstheme="majorHAnsi"/>
          <w:sz w:val="22"/>
          <w:szCs w:val="22"/>
          <w:lang w:val="en-GB"/>
        </w:rPr>
        <w:t xml:space="preserve">during the process of data analysis, ranging from simple description </w:t>
      </w:r>
      <w:r>
        <w:rPr>
          <w:rFonts w:asciiTheme="majorHAnsi" w:hAnsiTheme="majorHAnsi" w:cstheme="majorHAnsi"/>
          <w:sz w:val="22"/>
          <w:szCs w:val="22"/>
          <w:lang w:val="en-GB"/>
        </w:rPr>
        <w:t xml:space="preserve">through </w:t>
      </w:r>
      <w:r w:rsidRPr="00535036">
        <w:rPr>
          <w:rFonts w:asciiTheme="majorHAnsi" w:hAnsiTheme="majorHAnsi" w:cstheme="majorHAnsi"/>
          <w:sz w:val="22"/>
          <w:szCs w:val="22"/>
          <w:lang w:val="en-GB"/>
        </w:rPr>
        <w:t>to interpretation (</w:t>
      </w:r>
      <w:proofErr w:type="spellStart"/>
      <w:r w:rsidRPr="00535036">
        <w:rPr>
          <w:rFonts w:asciiTheme="majorHAnsi" w:hAnsiTheme="majorHAnsi" w:cstheme="majorHAnsi"/>
          <w:sz w:val="22"/>
          <w:szCs w:val="22"/>
          <w:lang w:val="en-GB"/>
        </w:rPr>
        <w:t>Vaismoradi</w:t>
      </w:r>
      <w:proofErr w:type="spellEnd"/>
      <w:r w:rsidRPr="00535036">
        <w:rPr>
          <w:rFonts w:asciiTheme="majorHAnsi" w:hAnsiTheme="majorHAnsi" w:cstheme="majorHAnsi"/>
          <w:sz w:val="22"/>
          <w:szCs w:val="22"/>
          <w:lang w:val="en-GB"/>
        </w:rPr>
        <w:t xml:space="preserve"> et. al., 2013</w:t>
      </w:r>
      <w:r>
        <w:rPr>
          <w:rFonts w:asciiTheme="majorHAnsi" w:hAnsiTheme="majorHAnsi" w:cstheme="majorHAnsi"/>
          <w:sz w:val="22"/>
          <w:szCs w:val="22"/>
          <w:lang w:val="en-GB"/>
        </w:rPr>
        <w:t>, p. 399</w:t>
      </w:r>
      <w:r w:rsidRPr="00535036">
        <w:rPr>
          <w:rFonts w:asciiTheme="majorHAnsi" w:hAnsiTheme="majorHAnsi" w:cstheme="majorHAnsi"/>
          <w:sz w:val="22"/>
          <w:szCs w:val="22"/>
          <w:lang w:val="en-GB"/>
        </w:rPr>
        <w:t>).  Thematic analysis is a qualitative descriptive approach, appropriate for researchers who</w:t>
      </w:r>
      <w:r>
        <w:rPr>
          <w:rFonts w:asciiTheme="majorHAnsi" w:hAnsiTheme="majorHAnsi" w:cstheme="majorHAnsi"/>
          <w:sz w:val="22"/>
          <w:szCs w:val="22"/>
          <w:lang w:val="en-GB"/>
        </w:rPr>
        <w:t xml:space="preserve"> </w:t>
      </w:r>
      <w:r w:rsidRPr="00535036">
        <w:rPr>
          <w:rFonts w:asciiTheme="majorHAnsi" w:hAnsiTheme="majorHAnsi" w:cstheme="majorHAnsi"/>
          <w:sz w:val="22"/>
          <w:szCs w:val="22"/>
          <w:lang w:val="en-GB"/>
        </w:rPr>
        <w:t xml:space="preserve">seek to </w:t>
      </w:r>
      <w:r w:rsidRPr="0079092D">
        <w:rPr>
          <w:rFonts w:asciiTheme="majorHAnsi" w:hAnsiTheme="majorHAnsi" w:cstheme="majorHAnsi"/>
          <w:sz w:val="22"/>
          <w:szCs w:val="22"/>
          <w:lang w:val="en-GB"/>
        </w:rPr>
        <w:t xml:space="preserve">engage in low-level interpretation. </w:t>
      </w:r>
    </w:p>
    <w:p w14:paraId="4CA6FF83" w14:textId="77777777" w:rsidR="00E36957" w:rsidRPr="0079092D" w:rsidRDefault="00E36957" w:rsidP="00E36957">
      <w:pPr>
        <w:widowControl w:val="0"/>
        <w:autoSpaceDE w:val="0"/>
        <w:autoSpaceDN w:val="0"/>
        <w:adjustRightInd w:val="0"/>
        <w:spacing w:line="259" w:lineRule="auto"/>
        <w:jc w:val="both"/>
        <w:rPr>
          <w:rFonts w:asciiTheme="majorHAnsi" w:hAnsiTheme="majorHAnsi" w:cstheme="majorHAnsi"/>
          <w:sz w:val="22"/>
          <w:szCs w:val="22"/>
          <w:lang w:val="en-GB"/>
        </w:rPr>
      </w:pPr>
    </w:p>
    <w:p w14:paraId="7196D653" w14:textId="76C6A235" w:rsidR="002468E0" w:rsidRDefault="002468E0" w:rsidP="00E36957">
      <w:pPr>
        <w:shd w:val="clear" w:color="auto" w:fill="FFFFFF"/>
        <w:spacing w:line="259" w:lineRule="auto"/>
        <w:jc w:val="both"/>
        <w:rPr>
          <w:rFonts w:asciiTheme="majorHAnsi" w:hAnsiTheme="majorHAnsi" w:cstheme="majorHAnsi"/>
          <w:sz w:val="22"/>
          <w:szCs w:val="22"/>
          <w:lang w:val="en-GB"/>
        </w:rPr>
      </w:pPr>
      <w:r w:rsidRPr="0079092D">
        <w:rPr>
          <w:rFonts w:asciiTheme="majorHAnsi" w:hAnsiTheme="majorHAnsi" w:cstheme="majorHAnsi"/>
          <w:sz w:val="22"/>
          <w:szCs w:val="22"/>
          <w:lang w:val="en-GB"/>
        </w:rPr>
        <w:lastRenderedPageBreak/>
        <w:t>Thematic analysis is used to examine classifications and impart patterns (themes) that interact within a data set. Thematic analysis shows the data in detail and can cope with diverse subjects by interpretation (</w:t>
      </w:r>
      <w:proofErr w:type="spellStart"/>
      <w:r w:rsidRPr="0079092D">
        <w:rPr>
          <w:rFonts w:asciiTheme="majorHAnsi" w:hAnsiTheme="majorHAnsi" w:cstheme="majorHAnsi"/>
          <w:sz w:val="22"/>
          <w:szCs w:val="22"/>
          <w:lang w:val="en-GB"/>
        </w:rPr>
        <w:t>Alhojailan</w:t>
      </w:r>
      <w:proofErr w:type="spellEnd"/>
      <w:r w:rsidRPr="0079092D">
        <w:rPr>
          <w:rFonts w:asciiTheme="majorHAnsi" w:hAnsiTheme="majorHAnsi" w:cstheme="majorHAnsi"/>
          <w:sz w:val="22"/>
          <w:szCs w:val="22"/>
          <w:lang w:val="en-GB"/>
        </w:rPr>
        <w:t>, 2012</w:t>
      </w:r>
      <w:r>
        <w:rPr>
          <w:rFonts w:asciiTheme="majorHAnsi" w:hAnsiTheme="majorHAnsi" w:cstheme="majorHAnsi"/>
          <w:sz w:val="22"/>
          <w:szCs w:val="22"/>
          <w:lang w:val="en-GB"/>
        </w:rPr>
        <w:t>, p.40</w:t>
      </w:r>
      <w:r w:rsidRPr="0079092D">
        <w:rPr>
          <w:rFonts w:asciiTheme="majorHAnsi" w:hAnsiTheme="majorHAnsi" w:cstheme="majorHAnsi"/>
          <w:sz w:val="22"/>
          <w:szCs w:val="22"/>
          <w:lang w:val="en-GB"/>
        </w:rPr>
        <w:t xml:space="preserve">). Braun &amp; Clarke (2006) view thematic analysis as theoretically flexible, because during the search for, and testing of themes, the use of language does not require any specific language theory, or particular framework </w:t>
      </w:r>
      <w:r>
        <w:rPr>
          <w:rFonts w:asciiTheme="majorHAnsi" w:hAnsiTheme="majorHAnsi" w:cstheme="majorHAnsi"/>
          <w:sz w:val="22"/>
          <w:szCs w:val="22"/>
          <w:lang w:val="en-GB"/>
        </w:rPr>
        <w:t xml:space="preserve">within which </w:t>
      </w:r>
      <w:r w:rsidRPr="0079092D">
        <w:rPr>
          <w:rFonts w:asciiTheme="majorHAnsi" w:hAnsiTheme="majorHAnsi" w:cstheme="majorHAnsi"/>
          <w:sz w:val="22"/>
          <w:szCs w:val="22"/>
          <w:lang w:val="en-GB"/>
        </w:rPr>
        <w:t>to categorise the descriptive meaning of people, experiences or actions. Consequently</w:t>
      </w:r>
      <w:r w:rsidR="008F1730">
        <w:rPr>
          <w:rFonts w:asciiTheme="majorHAnsi" w:hAnsiTheme="majorHAnsi" w:cstheme="majorHAnsi"/>
          <w:sz w:val="22"/>
          <w:szCs w:val="22"/>
          <w:lang w:val="en-GB"/>
        </w:rPr>
        <w:t>,</w:t>
      </w:r>
      <w:r w:rsidRPr="0079092D">
        <w:rPr>
          <w:rFonts w:asciiTheme="majorHAnsi" w:hAnsiTheme="majorHAnsi" w:cstheme="majorHAnsi"/>
          <w:sz w:val="22"/>
          <w:szCs w:val="22"/>
          <w:lang w:val="en-GB"/>
        </w:rPr>
        <w:t xml:space="preserve"> thematic </w:t>
      </w:r>
      <w:r w:rsidRPr="00787972">
        <w:rPr>
          <w:rFonts w:asciiTheme="majorHAnsi" w:hAnsiTheme="majorHAnsi" w:cstheme="majorHAnsi"/>
          <w:sz w:val="22"/>
          <w:szCs w:val="22"/>
          <w:lang w:val="en-GB"/>
        </w:rPr>
        <w:t>analysis can be used within a variety of theoretical frameworks and even thematic discourse analysis is achievable</w:t>
      </w:r>
      <w:r w:rsidRPr="009E3A55">
        <w:rPr>
          <w:rFonts w:asciiTheme="majorHAnsi" w:hAnsiTheme="majorHAnsi" w:cstheme="majorHAnsi"/>
          <w:sz w:val="22"/>
          <w:szCs w:val="22"/>
          <w:lang w:val="en-GB"/>
        </w:rPr>
        <w:t xml:space="preserve">. Thematic analysis can be studied without </w:t>
      </w:r>
      <w:r>
        <w:rPr>
          <w:rFonts w:asciiTheme="majorHAnsi" w:hAnsiTheme="majorHAnsi" w:cstheme="majorHAnsi"/>
          <w:sz w:val="22"/>
          <w:szCs w:val="22"/>
          <w:lang w:val="en-GB"/>
        </w:rPr>
        <w:t>reference to s</w:t>
      </w:r>
      <w:r w:rsidRPr="009E3A55">
        <w:rPr>
          <w:rFonts w:asciiTheme="majorHAnsi" w:hAnsiTheme="majorHAnsi" w:cstheme="majorHAnsi"/>
          <w:sz w:val="22"/>
          <w:szCs w:val="22"/>
          <w:lang w:val="en-GB"/>
        </w:rPr>
        <w:t xml:space="preserve">ome of the possibly confusing prior theoretical knowledge required in other qualitative approaches, </w:t>
      </w:r>
      <w:r>
        <w:rPr>
          <w:rFonts w:asciiTheme="majorHAnsi" w:hAnsiTheme="majorHAnsi" w:cstheme="majorHAnsi"/>
          <w:sz w:val="22"/>
          <w:szCs w:val="22"/>
          <w:lang w:val="en-GB"/>
        </w:rPr>
        <w:t>thereby</w:t>
      </w:r>
      <w:r w:rsidRPr="009E3A55">
        <w:rPr>
          <w:rFonts w:asciiTheme="majorHAnsi" w:hAnsiTheme="majorHAnsi" w:cstheme="majorHAnsi"/>
          <w:sz w:val="22"/>
          <w:szCs w:val="22"/>
          <w:lang w:val="en-GB"/>
        </w:rPr>
        <w:t xml:space="preserve"> assist</w:t>
      </w:r>
      <w:r>
        <w:rPr>
          <w:rFonts w:asciiTheme="majorHAnsi" w:hAnsiTheme="majorHAnsi" w:cstheme="majorHAnsi"/>
          <w:sz w:val="22"/>
          <w:szCs w:val="22"/>
          <w:lang w:val="en-GB"/>
        </w:rPr>
        <w:t>ing</w:t>
      </w:r>
      <w:r w:rsidRPr="009E3A55">
        <w:rPr>
          <w:rFonts w:asciiTheme="majorHAnsi" w:hAnsiTheme="majorHAnsi" w:cstheme="majorHAnsi"/>
          <w:sz w:val="22"/>
          <w:szCs w:val="22"/>
          <w:lang w:val="en-GB"/>
        </w:rPr>
        <w:t xml:space="preserve"> new students (Braun &amp; Clarke, 2013</w:t>
      </w:r>
      <w:r>
        <w:rPr>
          <w:rFonts w:asciiTheme="majorHAnsi" w:hAnsiTheme="majorHAnsi" w:cstheme="majorHAnsi"/>
          <w:sz w:val="22"/>
          <w:szCs w:val="22"/>
          <w:lang w:val="en-GB"/>
        </w:rPr>
        <w:t>, p.120</w:t>
      </w:r>
      <w:r w:rsidRPr="009E3A55">
        <w:rPr>
          <w:rFonts w:asciiTheme="majorHAnsi" w:hAnsiTheme="majorHAnsi" w:cstheme="majorHAnsi"/>
          <w:sz w:val="22"/>
          <w:szCs w:val="22"/>
          <w:lang w:val="en-GB"/>
        </w:rPr>
        <w:t>). Braun and Clarke (2006) identified six phases of thematic analysis. These ‘six phases’ should not be seen as a linear system, where one cannot continue to the next level without finishing the previous phase correctly; rather, analysis is a recursive process. Braun and Clarke’s (2006</w:t>
      </w:r>
      <w:r>
        <w:rPr>
          <w:rFonts w:asciiTheme="majorHAnsi" w:hAnsiTheme="majorHAnsi" w:cstheme="majorHAnsi"/>
          <w:sz w:val="22"/>
          <w:szCs w:val="22"/>
          <w:lang w:val="en-GB"/>
        </w:rPr>
        <w:t>, p.87</w:t>
      </w:r>
      <w:r w:rsidRPr="009E3A55">
        <w:rPr>
          <w:rFonts w:asciiTheme="majorHAnsi" w:hAnsiTheme="majorHAnsi" w:cstheme="majorHAnsi"/>
          <w:sz w:val="22"/>
          <w:szCs w:val="22"/>
          <w:lang w:val="en-GB"/>
        </w:rPr>
        <w:t>) model is used to analyse the port interviews discussed below</w:t>
      </w:r>
      <w:r>
        <w:rPr>
          <w:rFonts w:asciiTheme="majorHAnsi" w:hAnsiTheme="majorHAnsi" w:cstheme="majorHAnsi"/>
          <w:sz w:val="22"/>
          <w:szCs w:val="22"/>
          <w:lang w:val="en-GB"/>
        </w:rPr>
        <w:t xml:space="preserve"> and spans </w:t>
      </w:r>
      <w:r w:rsidRPr="009E3A55">
        <w:rPr>
          <w:rFonts w:asciiTheme="majorHAnsi" w:hAnsiTheme="majorHAnsi" w:cstheme="majorHAnsi"/>
          <w:sz w:val="22"/>
          <w:szCs w:val="22"/>
          <w:lang w:val="en-GB"/>
        </w:rPr>
        <w:t>six phases:</w:t>
      </w:r>
    </w:p>
    <w:p w14:paraId="3D49BD4C" w14:textId="77777777" w:rsidR="00E36957" w:rsidRPr="009E3A55" w:rsidRDefault="00E36957" w:rsidP="00E36957">
      <w:pPr>
        <w:shd w:val="clear" w:color="auto" w:fill="FFFFFF"/>
        <w:spacing w:line="259" w:lineRule="auto"/>
        <w:jc w:val="both"/>
        <w:rPr>
          <w:rFonts w:asciiTheme="majorHAnsi" w:hAnsiTheme="majorHAnsi" w:cstheme="majorHAnsi"/>
          <w:sz w:val="22"/>
          <w:szCs w:val="22"/>
          <w:lang w:val="en-GB"/>
        </w:rPr>
      </w:pPr>
    </w:p>
    <w:p w14:paraId="42A92C08" w14:textId="77777777" w:rsidR="002468E0" w:rsidRPr="009E3A55" w:rsidRDefault="002468E0" w:rsidP="00E36957">
      <w:pPr>
        <w:pStyle w:val="ListParagraph"/>
        <w:numPr>
          <w:ilvl w:val="0"/>
          <w:numId w:val="1"/>
        </w:numPr>
        <w:spacing w:line="259" w:lineRule="auto"/>
        <w:ind w:left="0" w:firstLine="0"/>
        <w:jc w:val="both"/>
        <w:rPr>
          <w:rFonts w:asciiTheme="majorHAnsi" w:hAnsiTheme="majorHAnsi" w:cstheme="majorHAnsi"/>
          <w:sz w:val="22"/>
          <w:szCs w:val="22"/>
          <w:lang w:val="en-GB"/>
        </w:rPr>
      </w:pPr>
      <w:r w:rsidRPr="009E3A55">
        <w:rPr>
          <w:rFonts w:asciiTheme="majorHAnsi" w:hAnsiTheme="majorHAnsi" w:cstheme="majorHAnsi"/>
          <w:sz w:val="22"/>
          <w:szCs w:val="22"/>
          <w:lang w:val="en-GB"/>
        </w:rPr>
        <w:t>Familiarisation with the data</w:t>
      </w:r>
    </w:p>
    <w:p w14:paraId="6F0B0EBD" w14:textId="77777777" w:rsidR="002468E0" w:rsidRPr="009E3A55" w:rsidRDefault="002468E0" w:rsidP="00E36957">
      <w:pPr>
        <w:pStyle w:val="ListParagraph"/>
        <w:numPr>
          <w:ilvl w:val="0"/>
          <w:numId w:val="1"/>
        </w:numPr>
        <w:spacing w:line="259" w:lineRule="auto"/>
        <w:ind w:left="0" w:firstLine="0"/>
        <w:jc w:val="both"/>
        <w:rPr>
          <w:rFonts w:asciiTheme="majorHAnsi" w:hAnsiTheme="majorHAnsi" w:cstheme="majorHAnsi"/>
          <w:sz w:val="22"/>
          <w:szCs w:val="22"/>
          <w:lang w:val="en-GB"/>
        </w:rPr>
      </w:pPr>
      <w:r w:rsidRPr="009E3A55">
        <w:rPr>
          <w:rFonts w:asciiTheme="majorHAnsi" w:hAnsiTheme="majorHAnsi" w:cstheme="majorHAnsi"/>
          <w:sz w:val="22"/>
          <w:szCs w:val="22"/>
          <w:lang w:val="en-GB"/>
        </w:rPr>
        <w:t>Coding</w:t>
      </w:r>
    </w:p>
    <w:p w14:paraId="16414EB7" w14:textId="77777777" w:rsidR="002468E0" w:rsidRPr="009E3A55" w:rsidRDefault="002468E0" w:rsidP="00E36957">
      <w:pPr>
        <w:pStyle w:val="ListParagraph"/>
        <w:numPr>
          <w:ilvl w:val="0"/>
          <w:numId w:val="1"/>
        </w:numPr>
        <w:spacing w:line="259" w:lineRule="auto"/>
        <w:ind w:left="0" w:firstLine="0"/>
        <w:jc w:val="both"/>
        <w:rPr>
          <w:rFonts w:asciiTheme="majorHAnsi" w:hAnsiTheme="majorHAnsi" w:cstheme="majorHAnsi"/>
          <w:sz w:val="22"/>
          <w:szCs w:val="22"/>
          <w:lang w:val="en-GB"/>
        </w:rPr>
      </w:pPr>
      <w:r w:rsidRPr="009E3A55">
        <w:rPr>
          <w:rFonts w:asciiTheme="majorHAnsi" w:hAnsiTheme="majorHAnsi" w:cstheme="majorHAnsi"/>
          <w:sz w:val="22"/>
          <w:szCs w:val="22"/>
          <w:lang w:val="en-GB"/>
        </w:rPr>
        <w:t>Searching for themes or patterns</w:t>
      </w:r>
    </w:p>
    <w:p w14:paraId="6275853D" w14:textId="77777777" w:rsidR="002468E0" w:rsidRPr="009E3A55" w:rsidRDefault="002468E0" w:rsidP="00E36957">
      <w:pPr>
        <w:pStyle w:val="ListParagraph"/>
        <w:numPr>
          <w:ilvl w:val="0"/>
          <w:numId w:val="1"/>
        </w:numPr>
        <w:spacing w:line="259" w:lineRule="auto"/>
        <w:ind w:left="0" w:firstLine="0"/>
        <w:jc w:val="both"/>
        <w:rPr>
          <w:rFonts w:asciiTheme="majorHAnsi" w:hAnsiTheme="majorHAnsi" w:cstheme="majorHAnsi"/>
          <w:sz w:val="22"/>
          <w:szCs w:val="22"/>
          <w:lang w:val="en-GB"/>
        </w:rPr>
      </w:pPr>
      <w:r w:rsidRPr="009E3A55">
        <w:rPr>
          <w:rFonts w:asciiTheme="majorHAnsi" w:hAnsiTheme="majorHAnsi" w:cstheme="majorHAnsi"/>
          <w:sz w:val="22"/>
          <w:szCs w:val="22"/>
          <w:lang w:val="en-GB"/>
        </w:rPr>
        <w:t>Reviewing themes</w:t>
      </w:r>
    </w:p>
    <w:p w14:paraId="51856F4B" w14:textId="77777777" w:rsidR="002468E0" w:rsidRPr="009E3A55" w:rsidRDefault="002468E0" w:rsidP="00E36957">
      <w:pPr>
        <w:pStyle w:val="ListParagraph"/>
        <w:numPr>
          <w:ilvl w:val="0"/>
          <w:numId w:val="1"/>
        </w:numPr>
        <w:spacing w:line="259" w:lineRule="auto"/>
        <w:ind w:left="0" w:firstLine="0"/>
        <w:jc w:val="both"/>
        <w:rPr>
          <w:rFonts w:asciiTheme="majorHAnsi" w:hAnsiTheme="majorHAnsi" w:cstheme="majorHAnsi"/>
          <w:sz w:val="22"/>
          <w:szCs w:val="22"/>
          <w:lang w:val="en-GB"/>
        </w:rPr>
      </w:pPr>
      <w:r w:rsidRPr="009E3A55">
        <w:rPr>
          <w:rFonts w:asciiTheme="majorHAnsi" w:hAnsiTheme="majorHAnsi" w:cstheme="majorHAnsi"/>
          <w:sz w:val="22"/>
          <w:szCs w:val="22"/>
          <w:lang w:val="en-GB"/>
        </w:rPr>
        <w:t>Defining and naming themes</w:t>
      </w:r>
    </w:p>
    <w:p w14:paraId="070B6CF0" w14:textId="0D035190" w:rsidR="002468E0" w:rsidRDefault="002468E0" w:rsidP="00E36957">
      <w:pPr>
        <w:pStyle w:val="ListParagraph"/>
        <w:numPr>
          <w:ilvl w:val="0"/>
          <w:numId w:val="1"/>
        </w:numPr>
        <w:spacing w:line="259" w:lineRule="auto"/>
        <w:ind w:left="0" w:firstLine="0"/>
        <w:jc w:val="both"/>
        <w:rPr>
          <w:rFonts w:asciiTheme="majorHAnsi" w:hAnsiTheme="majorHAnsi" w:cstheme="majorHAnsi"/>
          <w:sz w:val="22"/>
          <w:szCs w:val="22"/>
          <w:lang w:val="en-GB"/>
        </w:rPr>
      </w:pPr>
      <w:r w:rsidRPr="009E3A55">
        <w:rPr>
          <w:rFonts w:asciiTheme="majorHAnsi" w:hAnsiTheme="majorHAnsi" w:cstheme="majorHAnsi"/>
          <w:sz w:val="22"/>
          <w:szCs w:val="22"/>
          <w:lang w:val="en-GB"/>
        </w:rPr>
        <w:t>Writing up</w:t>
      </w:r>
    </w:p>
    <w:p w14:paraId="535CB324" w14:textId="77777777" w:rsidR="00E36957" w:rsidRPr="009E3A55" w:rsidRDefault="00E36957" w:rsidP="00E36957">
      <w:pPr>
        <w:pStyle w:val="ListParagraph"/>
        <w:spacing w:line="259" w:lineRule="auto"/>
        <w:ind w:left="0"/>
        <w:jc w:val="both"/>
        <w:rPr>
          <w:rFonts w:asciiTheme="majorHAnsi" w:hAnsiTheme="majorHAnsi" w:cstheme="majorHAnsi"/>
          <w:sz w:val="22"/>
          <w:szCs w:val="22"/>
          <w:lang w:val="en-GB"/>
        </w:rPr>
      </w:pPr>
    </w:p>
    <w:p w14:paraId="2D8C0F46" w14:textId="2F0AB898" w:rsidR="00CF369F" w:rsidRDefault="002468E0" w:rsidP="00E36957">
      <w:pPr>
        <w:spacing w:line="259" w:lineRule="auto"/>
        <w:jc w:val="both"/>
        <w:rPr>
          <w:rFonts w:asciiTheme="majorHAnsi" w:hAnsiTheme="majorHAnsi" w:cstheme="majorHAnsi"/>
          <w:sz w:val="22"/>
          <w:szCs w:val="22"/>
          <w:lang w:val="en-GB"/>
        </w:rPr>
      </w:pPr>
      <w:r w:rsidRPr="001C2426">
        <w:rPr>
          <w:rFonts w:asciiTheme="majorHAnsi" w:hAnsiTheme="majorHAnsi" w:cstheme="majorHAnsi"/>
          <w:sz w:val="22"/>
          <w:szCs w:val="22"/>
          <w:lang w:val="en-GB"/>
        </w:rPr>
        <w:t xml:space="preserve">The aim of data collection is to gather general data about sustainable port management and sustainability in port planning and to observe the level of awareness of sustainability in ports in the </w:t>
      </w:r>
      <w:r>
        <w:rPr>
          <w:rFonts w:asciiTheme="majorHAnsi" w:hAnsiTheme="majorHAnsi" w:cstheme="majorHAnsi"/>
          <w:sz w:val="22"/>
          <w:szCs w:val="22"/>
          <w:lang w:val="en-GB"/>
        </w:rPr>
        <w:t xml:space="preserve">two </w:t>
      </w:r>
      <w:r w:rsidRPr="001C2426">
        <w:rPr>
          <w:rFonts w:asciiTheme="majorHAnsi" w:hAnsiTheme="majorHAnsi" w:cstheme="majorHAnsi"/>
          <w:sz w:val="22"/>
          <w:szCs w:val="22"/>
          <w:lang w:val="en-GB"/>
        </w:rPr>
        <w:t xml:space="preserve">case study ports. Data was collected in interviews with the Chief Executive of Poole Harbour Commissioners and the General Manager of the Port of </w:t>
      </w:r>
      <w:proofErr w:type="spellStart"/>
      <w:r w:rsidRPr="001C2426">
        <w:rPr>
          <w:rFonts w:asciiTheme="majorHAnsi" w:hAnsiTheme="majorHAnsi" w:cstheme="majorHAnsi"/>
          <w:sz w:val="22"/>
          <w:szCs w:val="22"/>
          <w:lang w:val="en-GB"/>
        </w:rPr>
        <w:t>Akdeniz</w:t>
      </w:r>
      <w:proofErr w:type="spellEnd"/>
      <w:r w:rsidRPr="001C2426">
        <w:rPr>
          <w:rFonts w:asciiTheme="majorHAnsi" w:hAnsiTheme="majorHAnsi" w:cstheme="majorHAnsi"/>
          <w:sz w:val="22"/>
          <w:szCs w:val="22"/>
          <w:lang w:val="en-GB"/>
        </w:rPr>
        <w:t xml:space="preserve">, the leaders of these organisations, as primary data.  Interview prompt sheets guided face-to-face meetings, which were recorded </w:t>
      </w:r>
      <w:r>
        <w:rPr>
          <w:rFonts w:asciiTheme="majorHAnsi" w:hAnsiTheme="majorHAnsi" w:cstheme="majorHAnsi"/>
          <w:sz w:val="22"/>
          <w:szCs w:val="22"/>
          <w:lang w:val="en-GB"/>
        </w:rPr>
        <w:t>using</w:t>
      </w:r>
      <w:r w:rsidRPr="001C2426">
        <w:rPr>
          <w:rFonts w:asciiTheme="majorHAnsi" w:hAnsiTheme="majorHAnsi" w:cstheme="majorHAnsi"/>
          <w:sz w:val="22"/>
          <w:szCs w:val="22"/>
          <w:lang w:val="en-GB"/>
        </w:rPr>
        <w:t xml:space="preserve"> a voice recorder after permission had been granted.</w:t>
      </w:r>
    </w:p>
    <w:p w14:paraId="49585D56" w14:textId="77777777" w:rsidR="00E36957" w:rsidRPr="00E36957" w:rsidRDefault="00E36957" w:rsidP="00E36957">
      <w:pPr>
        <w:spacing w:line="259" w:lineRule="auto"/>
        <w:jc w:val="both"/>
        <w:rPr>
          <w:rFonts w:asciiTheme="majorHAnsi" w:hAnsiTheme="majorHAnsi" w:cstheme="majorHAnsi"/>
          <w:sz w:val="22"/>
          <w:szCs w:val="22"/>
          <w:lang w:val="en-GB"/>
        </w:rPr>
      </w:pPr>
    </w:p>
    <w:p w14:paraId="59BD65BC" w14:textId="77777777" w:rsidR="002468E0" w:rsidRPr="001C2426" w:rsidRDefault="002468E0" w:rsidP="00E36957">
      <w:pPr>
        <w:shd w:val="clear" w:color="auto" w:fill="FFFFFF"/>
        <w:spacing w:line="259" w:lineRule="auto"/>
        <w:jc w:val="both"/>
        <w:rPr>
          <w:rFonts w:asciiTheme="majorHAnsi" w:hAnsiTheme="majorHAnsi" w:cstheme="majorHAnsi"/>
          <w:b/>
          <w:sz w:val="22"/>
          <w:szCs w:val="22"/>
          <w:u w:val="single"/>
          <w:lang w:val="en-GB"/>
        </w:rPr>
      </w:pPr>
      <w:r w:rsidRPr="001C2426">
        <w:rPr>
          <w:rFonts w:asciiTheme="majorHAnsi" w:hAnsiTheme="majorHAnsi" w:cstheme="majorHAnsi"/>
          <w:b/>
          <w:sz w:val="22"/>
          <w:szCs w:val="22"/>
          <w:u w:val="single"/>
          <w:lang w:val="en-GB"/>
        </w:rPr>
        <w:t>Problem Description or challenge</w:t>
      </w:r>
    </w:p>
    <w:p w14:paraId="51F4BCAE" w14:textId="3DACA2F3" w:rsidR="002468E0" w:rsidRDefault="002468E0" w:rsidP="00E36957">
      <w:pPr>
        <w:shd w:val="clear" w:color="auto" w:fill="FFFFFF"/>
        <w:spacing w:line="259" w:lineRule="auto"/>
        <w:jc w:val="both"/>
        <w:rPr>
          <w:rFonts w:asciiTheme="majorHAnsi" w:hAnsiTheme="majorHAnsi" w:cstheme="majorHAnsi"/>
          <w:sz w:val="22"/>
          <w:szCs w:val="22"/>
          <w:lang w:val="en-GB"/>
        </w:rPr>
      </w:pPr>
      <w:r w:rsidRPr="001C2426">
        <w:rPr>
          <w:rFonts w:asciiTheme="majorHAnsi" w:hAnsiTheme="majorHAnsi" w:cstheme="majorHAnsi"/>
          <w:sz w:val="22"/>
          <w:szCs w:val="22"/>
          <w:lang w:val="en-GB"/>
        </w:rPr>
        <w:t xml:space="preserve">One aim of this paper is to capture industrial views of PSMS in relation to port management and another is to review the suitability of an existing bespoke PSMS with a view to further applications in the port industry involving wider perspectives for self-evaluation in terms of port size (small/ medium/ large), type (container/ dry bulk/ cruise) and governance (municipal/ trust/ private). Possible amendments to PSMS involve review of the 11 pillars of sustainability, with scope for adding an additional pillar(s) or sub-pillar(s) after reviewing the current PSMS systems from a wider set of perspectives. </w:t>
      </w:r>
    </w:p>
    <w:p w14:paraId="22F41846" w14:textId="77777777" w:rsidR="00E36957" w:rsidRPr="001C2426" w:rsidRDefault="00E36957" w:rsidP="00E36957">
      <w:pPr>
        <w:shd w:val="clear" w:color="auto" w:fill="FFFFFF"/>
        <w:spacing w:line="259" w:lineRule="auto"/>
        <w:jc w:val="both"/>
        <w:rPr>
          <w:rFonts w:asciiTheme="majorHAnsi" w:hAnsiTheme="majorHAnsi" w:cstheme="majorHAnsi"/>
          <w:sz w:val="22"/>
          <w:szCs w:val="22"/>
          <w:lang w:val="en-GB"/>
        </w:rPr>
      </w:pPr>
    </w:p>
    <w:p w14:paraId="34F741D1" w14:textId="77777777" w:rsidR="002468E0" w:rsidRPr="002C3C4A" w:rsidRDefault="002468E0" w:rsidP="00E36957">
      <w:pPr>
        <w:shd w:val="clear" w:color="auto" w:fill="FFFFFF"/>
        <w:spacing w:line="259" w:lineRule="auto"/>
        <w:jc w:val="both"/>
        <w:rPr>
          <w:rFonts w:asciiTheme="majorHAnsi" w:hAnsiTheme="majorHAnsi" w:cstheme="majorHAnsi"/>
          <w:b/>
          <w:sz w:val="22"/>
          <w:szCs w:val="22"/>
          <w:u w:val="single"/>
          <w:lang w:val="en-GB"/>
        </w:rPr>
      </w:pPr>
      <w:r w:rsidRPr="002C3C4A">
        <w:rPr>
          <w:rFonts w:asciiTheme="majorHAnsi" w:hAnsiTheme="majorHAnsi" w:cstheme="majorHAnsi"/>
          <w:b/>
          <w:sz w:val="22"/>
          <w:szCs w:val="22"/>
          <w:u w:val="single"/>
          <w:lang w:val="en-GB"/>
        </w:rPr>
        <w:t>Results/analysis</w:t>
      </w:r>
    </w:p>
    <w:p w14:paraId="0CA4CA44" w14:textId="77777777" w:rsidR="002468E0" w:rsidRPr="002C3C4A" w:rsidRDefault="002468E0" w:rsidP="00E36957">
      <w:pPr>
        <w:shd w:val="clear" w:color="auto" w:fill="FFFFFF"/>
        <w:spacing w:line="259" w:lineRule="auto"/>
        <w:jc w:val="both"/>
        <w:rPr>
          <w:rFonts w:asciiTheme="majorHAnsi" w:hAnsiTheme="majorHAnsi" w:cstheme="majorHAnsi"/>
          <w:sz w:val="22"/>
          <w:szCs w:val="22"/>
          <w:lang w:val="en-GB"/>
        </w:rPr>
      </w:pPr>
      <w:r w:rsidRPr="002C3C4A">
        <w:rPr>
          <w:rFonts w:asciiTheme="majorHAnsi" w:hAnsiTheme="majorHAnsi" w:cstheme="majorHAnsi"/>
          <w:sz w:val="22"/>
          <w:szCs w:val="22"/>
          <w:lang w:val="en-GB"/>
        </w:rPr>
        <w:t xml:space="preserve">Whilst gathering data it emerged that each port has different priorities which depend on size, type and governance, which implies that </w:t>
      </w:r>
      <w:r>
        <w:rPr>
          <w:rFonts w:asciiTheme="majorHAnsi" w:hAnsiTheme="majorHAnsi" w:cstheme="majorHAnsi"/>
          <w:sz w:val="22"/>
          <w:szCs w:val="22"/>
          <w:lang w:val="en-GB"/>
        </w:rPr>
        <w:t xml:space="preserve">a single </w:t>
      </w:r>
      <w:r w:rsidRPr="002C3C4A">
        <w:rPr>
          <w:rFonts w:asciiTheme="majorHAnsi" w:hAnsiTheme="majorHAnsi" w:cstheme="majorHAnsi"/>
          <w:sz w:val="22"/>
          <w:szCs w:val="22"/>
          <w:lang w:val="en-GB"/>
        </w:rPr>
        <w:t>inflexible PSMS is unlikely to be reliable given the differing size, type and governance of ports. Also by comparing British and Turkish ports, different levels of awareness emerge</w:t>
      </w:r>
      <w:r>
        <w:rPr>
          <w:rFonts w:asciiTheme="majorHAnsi" w:hAnsiTheme="majorHAnsi" w:cstheme="majorHAnsi"/>
          <w:sz w:val="22"/>
          <w:szCs w:val="22"/>
          <w:lang w:val="en-GB"/>
        </w:rPr>
        <w:t>d</w:t>
      </w:r>
      <w:r w:rsidRPr="002C3C4A">
        <w:rPr>
          <w:rFonts w:asciiTheme="majorHAnsi" w:hAnsiTheme="majorHAnsi" w:cstheme="majorHAnsi"/>
          <w:sz w:val="22"/>
          <w:szCs w:val="22"/>
          <w:lang w:val="en-GB"/>
        </w:rPr>
        <w:t xml:space="preserve"> between the countries. In this paper, these differences are examined </w:t>
      </w:r>
      <w:r>
        <w:rPr>
          <w:rFonts w:asciiTheme="majorHAnsi" w:hAnsiTheme="majorHAnsi" w:cstheme="majorHAnsi"/>
          <w:sz w:val="22"/>
          <w:szCs w:val="22"/>
          <w:lang w:val="en-GB"/>
        </w:rPr>
        <w:t xml:space="preserve">using </w:t>
      </w:r>
      <w:r w:rsidRPr="002C3C4A">
        <w:rPr>
          <w:rFonts w:asciiTheme="majorHAnsi" w:hAnsiTheme="majorHAnsi" w:cstheme="majorHAnsi"/>
          <w:sz w:val="22"/>
          <w:szCs w:val="22"/>
          <w:lang w:val="en-GB"/>
        </w:rPr>
        <w:t xml:space="preserve">the interview data gathered from Poole and Port </w:t>
      </w:r>
      <w:proofErr w:type="spellStart"/>
      <w:r w:rsidRPr="002C3C4A">
        <w:rPr>
          <w:rFonts w:asciiTheme="majorHAnsi" w:hAnsiTheme="majorHAnsi" w:cstheme="majorHAnsi"/>
          <w:sz w:val="22"/>
          <w:szCs w:val="22"/>
          <w:lang w:val="en-GB"/>
        </w:rPr>
        <w:t>Akdeniz</w:t>
      </w:r>
      <w:proofErr w:type="spellEnd"/>
      <w:r w:rsidRPr="002C3C4A">
        <w:rPr>
          <w:rFonts w:asciiTheme="majorHAnsi" w:hAnsiTheme="majorHAnsi" w:cstheme="majorHAnsi"/>
          <w:sz w:val="22"/>
          <w:szCs w:val="22"/>
          <w:lang w:val="en-GB"/>
        </w:rPr>
        <w:t xml:space="preserve"> (Antalya).</w:t>
      </w:r>
    </w:p>
    <w:p w14:paraId="0FEF69E5" w14:textId="77777777" w:rsidR="00E36957" w:rsidRDefault="00E36957" w:rsidP="00E36957">
      <w:pPr>
        <w:shd w:val="clear" w:color="auto" w:fill="FFFFFF"/>
        <w:spacing w:line="259" w:lineRule="auto"/>
        <w:jc w:val="both"/>
        <w:rPr>
          <w:rFonts w:asciiTheme="majorHAnsi" w:hAnsiTheme="majorHAnsi" w:cstheme="majorHAnsi"/>
          <w:sz w:val="22"/>
          <w:szCs w:val="22"/>
          <w:lang w:val="en-GB"/>
        </w:rPr>
      </w:pPr>
    </w:p>
    <w:p w14:paraId="53D93778" w14:textId="7947838E" w:rsidR="00EC5AF4" w:rsidRDefault="002468E0" w:rsidP="00E36957">
      <w:pPr>
        <w:shd w:val="clear" w:color="auto" w:fill="FFFFFF"/>
        <w:spacing w:line="259" w:lineRule="auto"/>
        <w:jc w:val="both"/>
        <w:rPr>
          <w:rFonts w:asciiTheme="majorHAnsi" w:hAnsiTheme="majorHAnsi" w:cstheme="majorHAnsi"/>
          <w:sz w:val="22"/>
          <w:szCs w:val="22"/>
          <w:lang w:val="en-GB"/>
        </w:rPr>
      </w:pPr>
      <w:r w:rsidRPr="00AE1AD4">
        <w:rPr>
          <w:rFonts w:asciiTheme="majorHAnsi" w:hAnsiTheme="majorHAnsi" w:cstheme="majorHAnsi"/>
          <w:sz w:val="22"/>
          <w:szCs w:val="22"/>
          <w:lang w:val="en-GB"/>
        </w:rPr>
        <w:t xml:space="preserve">The interview with the General Manager of Port </w:t>
      </w:r>
      <w:proofErr w:type="spellStart"/>
      <w:r w:rsidRPr="00AE1AD4">
        <w:rPr>
          <w:rFonts w:asciiTheme="majorHAnsi" w:hAnsiTheme="majorHAnsi" w:cstheme="majorHAnsi"/>
          <w:sz w:val="22"/>
          <w:szCs w:val="22"/>
          <w:lang w:val="en-GB"/>
        </w:rPr>
        <w:t>Akdeniz</w:t>
      </w:r>
      <w:proofErr w:type="spellEnd"/>
      <w:r w:rsidRPr="00AE1AD4">
        <w:rPr>
          <w:rFonts w:asciiTheme="majorHAnsi" w:hAnsiTheme="majorHAnsi" w:cstheme="majorHAnsi"/>
          <w:sz w:val="22"/>
          <w:szCs w:val="22"/>
          <w:lang w:val="en-GB"/>
        </w:rPr>
        <w:t xml:space="preserve"> identified bureaucracy as a major obstacle to achieving sustainability goals as his organisation progresses in the port industry. Due to lengthy bureaucratic processes, it might take four years to conclude the paper work required for an investment, before construction can start or port infrastructure can be restructured. The length of the </w:t>
      </w:r>
      <w:r w:rsidRPr="00AE1AD4">
        <w:rPr>
          <w:rFonts w:asciiTheme="majorHAnsi" w:hAnsiTheme="majorHAnsi" w:cstheme="majorHAnsi"/>
          <w:sz w:val="22"/>
          <w:szCs w:val="22"/>
          <w:lang w:val="en-GB"/>
        </w:rPr>
        <w:lastRenderedPageBreak/>
        <w:t xml:space="preserve">bureaucratic process is becoming a crucial factor especially in a country such as Turkey, where medium and long-term planning is difficult. </w:t>
      </w:r>
    </w:p>
    <w:p w14:paraId="478EE9E1" w14:textId="77777777" w:rsidR="00E36957" w:rsidRPr="00E36957" w:rsidRDefault="00E36957" w:rsidP="00E36957">
      <w:pPr>
        <w:shd w:val="clear" w:color="auto" w:fill="FFFFFF"/>
        <w:spacing w:line="259" w:lineRule="auto"/>
        <w:jc w:val="both"/>
        <w:rPr>
          <w:rFonts w:asciiTheme="majorHAnsi" w:hAnsiTheme="majorHAnsi" w:cstheme="majorHAnsi"/>
          <w:sz w:val="16"/>
          <w:szCs w:val="22"/>
          <w:lang w:val="en-GB"/>
        </w:rPr>
      </w:pPr>
    </w:p>
    <w:p w14:paraId="28F0564A" w14:textId="71D9D2F3" w:rsidR="002468E0" w:rsidRDefault="002468E0" w:rsidP="00E36957">
      <w:pPr>
        <w:shd w:val="clear" w:color="auto" w:fill="FFFFFF"/>
        <w:spacing w:line="259" w:lineRule="auto"/>
        <w:jc w:val="both"/>
        <w:rPr>
          <w:rFonts w:asciiTheme="majorHAnsi" w:hAnsiTheme="majorHAnsi" w:cstheme="majorHAnsi"/>
          <w:sz w:val="22"/>
          <w:szCs w:val="22"/>
          <w:lang w:val="en-GB"/>
        </w:rPr>
      </w:pPr>
      <w:r w:rsidRPr="00AE1AD4">
        <w:rPr>
          <w:rFonts w:asciiTheme="majorHAnsi" w:hAnsiTheme="majorHAnsi" w:cstheme="majorHAnsi"/>
          <w:sz w:val="22"/>
          <w:szCs w:val="22"/>
          <w:lang w:val="en-GB"/>
        </w:rPr>
        <w:t>Conversely, bureaucracy was not mentioned as an obstacle in the interview with the Chief Executive Officer of the Poole Harbour Commissioners. One of the reasons might relate to the market approach of the two countries. The UK government is happy to let industry lead the market, whereas in Turkey, government is reluctant to delegate that authority to industry</w:t>
      </w:r>
      <w:r>
        <w:rPr>
          <w:rFonts w:asciiTheme="majorHAnsi" w:hAnsiTheme="majorHAnsi" w:cstheme="majorHAnsi"/>
          <w:sz w:val="22"/>
          <w:szCs w:val="22"/>
          <w:lang w:val="en-GB"/>
        </w:rPr>
        <w:t>,</w:t>
      </w:r>
      <w:r w:rsidRPr="00AE1AD4">
        <w:rPr>
          <w:rFonts w:asciiTheme="majorHAnsi" w:hAnsiTheme="majorHAnsi" w:cstheme="majorHAnsi"/>
          <w:sz w:val="22"/>
          <w:szCs w:val="22"/>
          <w:lang w:val="en-GB"/>
        </w:rPr>
        <w:t xml:space="preserve"> and </w:t>
      </w:r>
      <w:r>
        <w:rPr>
          <w:rFonts w:asciiTheme="majorHAnsi" w:hAnsiTheme="majorHAnsi" w:cstheme="majorHAnsi"/>
          <w:sz w:val="22"/>
          <w:szCs w:val="22"/>
          <w:lang w:val="en-GB"/>
        </w:rPr>
        <w:t>seeks</w:t>
      </w:r>
      <w:r w:rsidRPr="00AE1AD4">
        <w:rPr>
          <w:rFonts w:asciiTheme="majorHAnsi" w:hAnsiTheme="majorHAnsi" w:cstheme="majorHAnsi"/>
          <w:sz w:val="22"/>
          <w:szCs w:val="22"/>
          <w:lang w:val="en-GB"/>
        </w:rPr>
        <w:t xml:space="preserve"> to retain more control over the market.  For this reason, bureaucracy can be a potential addition to the PSMS to adapt it to suit the wider perspectives of countries</w:t>
      </w:r>
      <w:r>
        <w:rPr>
          <w:rFonts w:asciiTheme="majorHAnsi" w:hAnsiTheme="majorHAnsi" w:cstheme="majorHAnsi"/>
          <w:sz w:val="22"/>
          <w:szCs w:val="22"/>
          <w:lang w:val="en-GB"/>
        </w:rPr>
        <w:t>,</w:t>
      </w:r>
      <w:r w:rsidRPr="00AE1AD4">
        <w:rPr>
          <w:rFonts w:asciiTheme="majorHAnsi" w:hAnsiTheme="majorHAnsi" w:cstheme="majorHAnsi"/>
          <w:sz w:val="22"/>
          <w:szCs w:val="22"/>
          <w:lang w:val="en-GB"/>
        </w:rPr>
        <w:t xml:space="preserve"> which have different levels of bureaucratic processes.</w:t>
      </w:r>
    </w:p>
    <w:p w14:paraId="4C7EAFD5" w14:textId="77777777" w:rsidR="00E36957" w:rsidRPr="00E36957" w:rsidRDefault="00E36957" w:rsidP="00E36957">
      <w:pPr>
        <w:shd w:val="clear" w:color="auto" w:fill="FFFFFF"/>
        <w:spacing w:line="259" w:lineRule="auto"/>
        <w:jc w:val="both"/>
        <w:rPr>
          <w:rFonts w:asciiTheme="majorHAnsi" w:hAnsiTheme="majorHAnsi" w:cstheme="majorHAnsi"/>
          <w:sz w:val="16"/>
          <w:szCs w:val="22"/>
          <w:lang w:val="en-GB"/>
        </w:rPr>
      </w:pPr>
    </w:p>
    <w:p w14:paraId="3DC08B7C" w14:textId="545CA333" w:rsidR="002468E0" w:rsidRDefault="002468E0" w:rsidP="00E36957">
      <w:pPr>
        <w:spacing w:line="259" w:lineRule="auto"/>
        <w:jc w:val="both"/>
        <w:rPr>
          <w:rFonts w:asciiTheme="majorHAnsi" w:eastAsia="Times New Roman" w:hAnsiTheme="majorHAnsi" w:cstheme="majorHAnsi"/>
          <w:sz w:val="22"/>
          <w:szCs w:val="22"/>
          <w:shd w:val="clear" w:color="auto" w:fill="FFFFFF"/>
          <w:lang w:val="en-GB"/>
        </w:rPr>
      </w:pPr>
      <w:r w:rsidRPr="000749F3">
        <w:rPr>
          <w:rFonts w:asciiTheme="majorHAnsi" w:hAnsiTheme="majorHAnsi" w:cstheme="majorHAnsi"/>
          <w:sz w:val="22"/>
          <w:szCs w:val="22"/>
          <w:lang w:val="en-GB"/>
        </w:rPr>
        <w:t xml:space="preserve">“Governance” emerged as a useful addition to the PSMS because it influences ports when setting their organisational priorities. Poole port is a trust port in which any profits have to be spent on new investments and improvements to the </w:t>
      </w:r>
      <w:r w:rsidRPr="00947CCF">
        <w:rPr>
          <w:rFonts w:asciiTheme="majorHAnsi" w:hAnsiTheme="majorHAnsi" w:cstheme="majorHAnsi"/>
          <w:sz w:val="22"/>
          <w:szCs w:val="22"/>
          <w:lang w:val="en-GB"/>
        </w:rPr>
        <w:t xml:space="preserve">infrastructures. Conversely, Port </w:t>
      </w:r>
      <w:proofErr w:type="spellStart"/>
      <w:r w:rsidRPr="00947CCF">
        <w:rPr>
          <w:rFonts w:asciiTheme="majorHAnsi" w:hAnsiTheme="majorHAnsi" w:cstheme="majorHAnsi"/>
          <w:sz w:val="22"/>
          <w:szCs w:val="22"/>
          <w:lang w:val="en-GB"/>
        </w:rPr>
        <w:t>Akdeniz</w:t>
      </w:r>
      <w:proofErr w:type="spellEnd"/>
      <w:r w:rsidRPr="00947CCF">
        <w:rPr>
          <w:rFonts w:asciiTheme="majorHAnsi" w:hAnsiTheme="majorHAnsi" w:cstheme="majorHAnsi"/>
          <w:sz w:val="22"/>
          <w:szCs w:val="22"/>
          <w:lang w:val="en-GB"/>
        </w:rPr>
        <w:t xml:space="preserve"> is a private port. Global Ports Holding (</w:t>
      </w:r>
      <w:r w:rsidRPr="00947CCF">
        <w:rPr>
          <w:rFonts w:asciiTheme="majorHAnsi" w:eastAsia="Times New Roman" w:hAnsiTheme="majorHAnsi" w:cstheme="majorHAnsi"/>
          <w:sz w:val="22"/>
          <w:szCs w:val="22"/>
          <w:shd w:val="clear" w:color="auto" w:fill="FFFFFF"/>
          <w:lang w:val="en-GB"/>
        </w:rPr>
        <w:t xml:space="preserve">GPH) acquired a 40% stake in Port </w:t>
      </w:r>
      <w:proofErr w:type="spellStart"/>
      <w:r w:rsidRPr="00947CCF">
        <w:rPr>
          <w:rFonts w:asciiTheme="majorHAnsi" w:eastAsia="Times New Roman" w:hAnsiTheme="majorHAnsi" w:cstheme="majorHAnsi"/>
          <w:sz w:val="22"/>
          <w:szCs w:val="22"/>
          <w:shd w:val="clear" w:color="auto" w:fill="FFFFFF"/>
          <w:lang w:val="en-GB"/>
        </w:rPr>
        <w:t>Akdeniz</w:t>
      </w:r>
      <w:proofErr w:type="spellEnd"/>
      <w:r w:rsidRPr="00947CCF">
        <w:rPr>
          <w:rFonts w:asciiTheme="majorHAnsi" w:eastAsia="Times New Roman" w:hAnsiTheme="majorHAnsi" w:cstheme="majorHAnsi"/>
          <w:sz w:val="22"/>
          <w:szCs w:val="22"/>
          <w:shd w:val="clear" w:color="auto" w:fill="FFFFFF"/>
          <w:lang w:val="en-GB"/>
        </w:rPr>
        <w:t xml:space="preserve"> in 2006 and subsequently increased its share to 100% in July 2010. Hence, GPH’s priority is to recoup the costs of their investments as soon as possible for the purpose of satisfying their shareholders. These different priorities arise due to the governance type of the port, and as such governance offers an important potential addition to the PSMS to assist harbour masters in self-assessments of their organisations. </w:t>
      </w:r>
    </w:p>
    <w:p w14:paraId="00EDB3A6" w14:textId="77777777" w:rsidR="00E36957" w:rsidRPr="00E36957" w:rsidRDefault="00E36957" w:rsidP="00E36957">
      <w:pPr>
        <w:spacing w:line="259" w:lineRule="auto"/>
        <w:jc w:val="both"/>
        <w:rPr>
          <w:rFonts w:asciiTheme="majorHAnsi" w:eastAsia="Times New Roman" w:hAnsiTheme="majorHAnsi" w:cstheme="majorHAnsi"/>
          <w:sz w:val="16"/>
          <w:szCs w:val="22"/>
          <w:shd w:val="clear" w:color="auto" w:fill="FFFFFF"/>
          <w:lang w:val="en-GB"/>
        </w:rPr>
      </w:pPr>
    </w:p>
    <w:p w14:paraId="1EB3E619" w14:textId="423661CA" w:rsidR="002468E0" w:rsidRDefault="002468E0" w:rsidP="00E36957">
      <w:pPr>
        <w:shd w:val="clear" w:color="auto" w:fill="FFFFFF"/>
        <w:spacing w:line="259" w:lineRule="auto"/>
        <w:jc w:val="both"/>
        <w:rPr>
          <w:rFonts w:asciiTheme="majorHAnsi" w:hAnsiTheme="majorHAnsi" w:cstheme="majorHAnsi"/>
          <w:sz w:val="22"/>
          <w:szCs w:val="22"/>
          <w:lang w:val="en-GB"/>
        </w:rPr>
      </w:pPr>
      <w:r w:rsidRPr="0005603C">
        <w:rPr>
          <w:rFonts w:asciiTheme="majorHAnsi" w:hAnsiTheme="majorHAnsi" w:cstheme="majorHAnsi"/>
          <w:sz w:val="22"/>
          <w:szCs w:val="22"/>
          <w:lang w:val="en-GB"/>
        </w:rPr>
        <w:t xml:space="preserve">Culture emerges as the last potential addition to 11 pillars of PSMS.  During the interviews with the Chief Executive of Poole Harbour Commissioners and the General Manager of Port </w:t>
      </w:r>
      <w:proofErr w:type="spellStart"/>
      <w:r w:rsidRPr="0005603C">
        <w:rPr>
          <w:rFonts w:asciiTheme="majorHAnsi" w:hAnsiTheme="majorHAnsi" w:cstheme="majorHAnsi"/>
          <w:sz w:val="22"/>
          <w:szCs w:val="22"/>
          <w:lang w:val="en-GB"/>
        </w:rPr>
        <w:t>Akdeniz</w:t>
      </w:r>
      <w:proofErr w:type="spellEnd"/>
      <w:r w:rsidRPr="0005603C">
        <w:rPr>
          <w:rFonts w:asciiTheme="majorHAnsi" w:hAnsiTheme="majorHAnsi" w:cstheme="majorHAnsi"/>
          <w:sz w:val="22"/>
          <w:szCs w:val="22"/>
          <w:lang w:val="en-GB"/>
        </w:rPr>
        <w:t xml:space="preserve">, cultural differences were found to influence sustainability goals. Especially during the Port </w:t>
      </w:r>
      <w:proofErr w:type="spellStart"/>
      <w:r w:rsidRPr="0005603C">
        <w:rPr>
          <w:rFonts w:asciiTheme="majorHAnsi" w:hAnsiTheme="majorHAnsi" w:cstheme="majorHAnsi"/>
          <w:sz w:val="22"/>
          <w:szCs w:val="22"/>
          <w:lang w:val="en-GB"/>
        </w:rPr>
        <w:t>Akdeniz</w:t>
      </w:r>
      <w:proofErr w:type="spellEnd"/>
      <w:r w:rsidRPr="0005603C">
        <w:rPr>
          <w:rFonts w:asciiTheme="majorHAnsi" w:hAnsiTheme="majorHAnsi" w:cstheme="majorHAnsi"/>
          <w:sz w:val="22"/>
          <w:szCs w:val="22"/>
          <w:lang w:val="en-GB"/>
        </w:rPr>
        <w:t xml:space="preserve"> interview, responses to the prompt: “Do you believe that there is enough collaboration between organisations?’ culture emerged as a potential addition to the PSMS. Th</w:t>
      </w:r>
      <w:r w:rsidR="00ED5701">
        <w:rPr>
          <w:rFonts w:asciiTheme="majorHAnsi" w:hAnsiTheme="majorHAnsi" w:cstheme="majorHAnsi"/>
          <w:sz w:val="22"/>
          <w:szCs w:val="22"/>
          <w:lang w:val="en-GB"/>
        </w:rPr>
        <w:t>e reason proffered for a lack</w:t>
      </w:r>
      <w:r w:rsidRPr="0005603C">
        <w:rPr>
          <w:rFonts w:asciiTheme="majorHAnsi" w:hAnsiTheme="majorHAnsi" w:cstheme="majorHAnsi"/>
          <w:sz w:val="22"/>
          <w:szCs w:val="22"/>
          <w:lang w:val="en-GB"/>
        </w:rPr>
        <w:t xml:space="preserve"> of healthy collaboration is the oriental working culture in Turkey. </w:t>
      </w:r>
    </w:p>
    <w:p w14:paraId="3B524A77" w14:textId="77777777" w:rsidR="00E36957" w:rsidRPr="00E36957" w:rsidRDefault="00E36957" w:rsidP="00E36957">
      <w:pPr>
        <w:shd w:val="clear" w:color="auto" w:fill="FFFFFF"/>
        <w:spacing w:line="259" w:lineRule="auto"/>
        <w:jc w:val="both"/>
        <w:rPr>
          <w:rFonts w:asciiTheme="majorHAnsi" w:hAnsiTheme="majorHAnsi" w:cstheme="majorHAnsi"/>
          <w:sz w:val="16"/>
          <w:szCs w:val="22"/>
          <w:lang w:val="en-GB"/>
        </w:rPr>
      </w:pPr>
    </w:p>
    <w:p w14:paraId="46F60E66" w14:textId="390F9693" w:rsidR="00EC5AF4" w:rsidRDefault="002468E0" w:rsidP="00E36957">
      <w:pPr>
        <w:shd w:val="clear" w:color="auto" w:fill="FFFFFF"/>
        <w:spacing w:line="259" w:lineRule="auto"/>
        <w:jc w:val="both"/>
        <w:rPr>
          <w:rFonts w:asciiTheme="majorHAnsi" w:hAnsiTheme="majorHAnsi" w:cstheme="majorHAnsi"/>
          <w:sz w:val="22"/>
          <w:szCs w:val="22"/>
          <w:lang w:val="en-GB"/>
        </w:rPr>
      </w:pPr>
      <w:r w:rsidRPr="0087026A">
        <w:rPr>
          <w:rFonts w:asciiTheme="majorHAnsi" w:hAnsiTheme="majorHAnsi" w:cstheme="majorHAnsi"/>
          <w:sz w:val="22"/>
          <w:szCs w:val="22"/>
          <w:lang w:val="en-GB"/>
        </w:rPr>
        <w:t>One characteristic of Turkish industry is that typically, for many managers, incurring a capital loss is preferable to being forced into collaboration. This might reflect cultural influences of managing organisations with</w:t>
      </w:r>
      <w:r>
        <w:rPr>
          <w:rFonts w:asciiTheme="majorHAnsi" w:hAnsiTheme="majorHAnsi" w:cstheme="majorHAnsi"/>
          <w:sz w:val="22"/>
          <w:szCs w:val="22"/>
          <w:lang w:val="en-GB"/>
        </w:rPr>
        <w:t>in</w:t>
      </w:r>
      <w:r w:rsidRPr="0087026A">
        <w:rPr>
          <w:rFonts w:asciiTheme="majorHAnsi" w:hAnsiTheme="majorHAnsi" w:cstheme="majorHAnsi"/>
          <w:sz w:val="22"/>
          <w:szCs w:val="22"/>
          <w:lang w:val="en-GB"/>
        </w:rPr>
        <w:t xml:space="preserve"> a one-man system, where everything is connected to that specific person who is in charge. The oriental working culture presents the biggest challenge for the industry. If a solution can be found to overcome the oriental working culture issue, other secondary issues will be resolved much more easily according to the general manager of Port </w:t>
      </w:r>
      <w:proofErr w:type="spellStart"/>
      <w:r w:rsidRPr="0087026A">
        <w:rPr>
          <w:rFonts w:asciiTheme="majorHAnsi" w:hAnsiTheme="majorHAnsi" w:cstheme="majorHAnsi"/>
          <w:sz w:val="22"/>
          <w:szCs w:val="22"/>
          <w:lang w:val="en-GB"/>
        </w:rPr>
        <w:t>Akdeniz</w:t>
      </w:r>
      <w:proofErr w:type="spellEnd"/>
      <w:r w:rsidRPr="0087026A">
        <w:rPr>
          <w:rFonts w:asciiTheme="majorHAnsi" w:hAnsiTheme="majorHAnsi" w:cstheme="majorHAnsi"/>
          <w:sz w:val="22"/>
          <w:szCs w:val="22"/>
          <w:lang w:val="en-GB"/>
        </w:rPr>
        <w:t xml:space="preserve">. </w:t>
      </w:r>
    </w:p>
    <w:p w14:paraId="26105893" w14:textId="77777777" w:rsidR="00E36957" w:rsidRPr="00E36957" w:rsidRDefault="00E36957" w:rsidP="00E36957">
      <w:pPr>
        <w:shd w:val="clear" w:color="auto" w:fill="FFFFFF"/>
        <w:spacing w:line="259" w:lineRule="auto"/>
        <w:jc w:val="both"/>
        <w:rPr>
          <w:rFonts w:asciiTheme="majorHAnsi" w:hAnsiTheme="majorHAnsi" w:cstheme="majorHAnsi"/>
          <w:sz w:val="16"/>
          <w:szCs w:val="22"/>
          <w:lang w:val="en-GB"/>
        </w:rPr>
      </w:pPr>
    </w:p>
    <w:p w14:paraId="768EFC95" w14:textId="7B390155" w:rsidR="002468E0" w:rsidRDefault="002468E0" w:rsidP="00E36957">
      <w:pPr>
        <w:shd w:val="clear" w:color="auto" w:fill="FFFFFF"/>
        <w:spacing w:line="259" w:lineRule="auto"/>
        <w:jc w:val="both"/>
        <w:rPr>
          <w:rFonts w:asciiTheme="majorHAnsi" w:hAnsiTheme="majorHAnsi" w:cstheme="majorHAnsi"/>
          <w:sz w:val="22"/>
          <w:szCs w:val="22"/>
          <w:lang w:val="en-GB"/>
        </w:rPr>
      </w:pPr>
      <w:r w:rsidRPr="0087026A">
        <w:rPr>
          <w:rFonts w:asciiTheme="majorHAnsi" w:hAnsiTheme="majorHAnsi" w:cstheme="majorHAnsi"/>
          <w:sz w:val="22"/>
          <w:szCs w:val="22"/>
          <w:lang w:val="en-GB"/>
        </w:rPr>
        <w:t xml:space="preserve">Another type of culture, which has an impact on the industry, is the organisational culture. Organisational culture can be a good influence on sustainability in terms of efficiency. Organisations should consider oriental working culture while establishing an organisational culture especially in circumstances such as entering a new market in a new country in order to become more sustainable. </w:t>
      </w:r>
    </w:p>
    <w:p w14:paraId="54F51669" w14:textId="77777777" w:rsidR="00E36957" w:rsidRPr="00E36957" w:rsidRDefault="00E36957" w:rsidP="00E36957">
      <w:pPr>
        <w:shd w:val="clear" w:color="auto" w:fill="FFFFFF"/>
        <w:spacing w:line="259" w:lineRule="auto"/>
        <w:jc w:val="both"/>
        <w:rPr>
          <w:rFonts w:asciiTheme="majorHAnsi" w:hAnsiTheme="majorHAnsi" w:cstheme="majorHAnsi"/>
          <w:sz w:val="16"/>
          <w:szCs w:val="22"/>
          <w:lang w:val="en-GB"/>
        </w:rPr>
      </w:pPr>
    </w:p>
    <w:p w14:paraId="667CE679" w14:textId="77777777" w:rsidR="002468E0" w:rsidRPr="0033364C" w:rsidRDefault="002468E0" w:rsidP="00E36957">
      <w:pPr>
        <w:shd w:val="clear" w:color="auto" w:fill="FFFFFF"/>
        <w:spacing w:line="259" w:lineRule="auto"/>
        <w:jc w:val="both"/>
        <w:rPr>
          <w:rFonts w:asciiTheme="majorHAnsi" w:hAnsiTheme="majorHAnsi" w:cstheme="majorHAnsi"/>
          <w:b/>
          <w:sz w:val="22"/>
          <w:szCs w:val="22"/>
          <w:u w:val="single"/>
          <w:lang w:val="en-GB"/>
        </w:rPr>
      </w:pPr>
      <w:r w:rsidRPr="0033364C">
        <w:rPr>
          <w:rFonts w:asciiTheme="majorHAnsi" w:hAnsiTheme="majorHAnsi" w:cstheme="majorHAnsi"/>
          <w:b/>
          <w:sz w:val="22"/>
          <w:szCs w:val="22"/>
          <w:u w:val="single"/>
          <w:lang w:val="en-GB"/>
        </w:rPr>
        <w:t>Discussion</w:t>
      </w:r>
    </w:p>
    <w:p w14:paraId="5A7B3B84" w14:textId="2ECDB8DA" w:rsidR="002468E0" w:rsidRDefault="002468E0" w:rsidP="00E36957">
      <w:pPr>
        <w:shd w:val="clear" w:color="auto" w:fill="FFFFFF"/>
        <w:spacing w:line="259" w:lineRule="auto"/>
        <w:jc w:val="both"/>
        <w:rPr>
          <w:rFonts w:asciiTheme="majorHAnsi" w:hAnsiTheme="majorHAnsi" w:cstheme="majorHAnsi"/>
          <w:sz w:val="22"/>
          <w:szCs w:val="22"/>
          <w:lang w:val="en-GB"/>
        </w:rPr>
      </w:pPr>
      <w:r w:rsidRPr="0033364C">
        <w:rPr>
          <w:rFonts w:asciiTheme="majorHAnsi" w:hAnsiTheme="majorHAnsi" w:cstheme="majorHAnsi"/>
          <w:sz w:val="22"/>
          <w:szCs w:val="22"/>
          <w:lang w:val="en-GB"/>
        </w:rPr>
        <w:t>The potential impact of this paper is to note that in modifying PSMS to suit possible applications globally, a broader perspective of sustainability is needed, compared with applications solely to smaller ports in the South West U</w:t>
      </w:r>
      <w:r>
        <w:rPr>
          <w:rFonts w:asciiTheme="majorHAnsi" w:hAnsiTheme="majorHAnsi" w:cstheme="majorHAnsi"/>
          <w:sz w:val="22"/>
          <w:szCs w:val="22"/>
          <w:lang w:val="en-GB"/>
        </w:rPr>
        <w:t>K</w:t>
      </w:r>
      <w:r w:rsidRPr="0033364C">
        <w:rPr>
          <w:rFonts w:asciiTheme="majorHAnsi" w:hAnsiTheme="majorHAnsi" w:cstheme="majorHAnsi"/>
          <w:sz w:val="22"/>
          <w:szCs w:val="22"/>
          <w:lang w:val="en-GB"/>
        </w:rPr>
        <w:t xml:space="preserve">. Further, port self-assessments depend on geographic location, </w:t>
      </w:r>
      <w:r>
        <w:rPr>
          <w:rFonts w:asciiTheme="majorHAnsi" w:hAnsiTheme="majorHAnsi" w:cstheme="majorHAnsi"/>
          <w:sz w:val="22"/>
          <w:szCs w:val="22"/>
          <w:lang w:val="en-GB"/>
        </w:rPr>
        <w:t>port</w:t>
      </w:r>
      <w:r w:rsidRPr="0033364C">
        <w:rPr>
          <w:rFonts w:asciiTheme="majorHAnsi" w:hAnsiTheme="majorHAnsi" w:cstheme="majorHAnsi"/>
          <w:sz w:val="22"/>
          <w:szCs w:val="22"/>
          <w:lang w:val="en-GB"/>
        </w:rPr>
        <w:t xml:space="preserve"> size, </w:t>
      </w:r>
      <w:r>
        <w:rPr>
          <w:rFonts w:asciiTheme="majorHAnsi" w:hAnsiTheme="majorHAnsi" w:cstheme="majorHAnsi"/>
          <w:sz w:val="22"/>
          <w:szCs w:val="22"/>
          <w:lang w:val="en-GB"/>
        </w:rPr>
        <w:t xml:space="preserve">port </w:t>
      </w:r>
      <w:r w:rsidRPr="0033364C">
        <w:rPr>
          <w:rFonts w:asciiTheme="majorHAnsi" w:hAnsiTheme="majorHAnsi" w:cstheme="majorHAnsi"/>
          <w:sz w:val="22"/>
          <w:szCs w:val="22"/>
          <w:lang w:val="en-GB"/>
        </w:rPr>
        <w:t xml:space="preserve">type and governance type. </w:t>
      </w:r>
    </w:p>
    <w:p w14:paraId="25396102" w14:textId="77777777" w:rsidR="00E36957" w:rsidRPr="00E36957" w:rsidRDefault="00E36957" w:rsidP="00E36957">
      <w:pPr>
        <w:shd w:val="clear" w:color="auto" w:fill="FFFFFF"/>
        <w:spacing w:line="259" w:lineRule="auto"/>
        <w:jc w:val="both"/>
        <w:rPr>
          <w:rFonts w:asciiTheme="majorHAnsi" w:hAnsiTheme="majorHAnsi" w:cstheme="majorHAnsi"/>
          <w:sz w:val="16"/>
          <w:szCs w:val="22"/>
          <w:lang w:val="en-GB"/>
        </w:rPr>
      </w:pPr>
    </w:p>
    <w:p w14:paraId="0F1056BB" w14:textId="00DBF025" w:rsidR="001A10C5" w:rsidRPr="0033364C" w:rsidRDefault="001A10C5" w:rsidP="00E36957">
      <w:pPr>
        <w:shd w:val="clear" w:color="auto" w:fill="FFFFFF"/>
        <w:spacing w:line="259" w:lineRule="auto"/>
        <w:jc w:val="both"/>
        <w:rPr>
          <w:rFonts w:asciiTheme="majorHAnsi" w:hAnsiTheme="majorHAnsi" w:cstheme="majorHAnsi"/>
          <w:sz w:val="22"/>
          <w:szCs w:val="22"/>
          <w:lang w:val="en-GB"/>
        </w:rPr>
      </w:pPr>
      <w:r w:rsidRPr="0033364C">
        <w:rPr>
          <w:rFonts w:asciiTheme="majorHAnsi" w:hAnsiTheme="majorHAnsi" w:cstheme="majorHAnsi"/>
          <w:sz w:val="22"/>
          <w:szCs w:val="22"/>
          <w:lang w:val="en-GB"/>
        </w:rPr>
        <w:t>The PSMS is a reliable self-assessment system for smaller ports in the South West U</w:t>
      </w:r>
      <w:r>
        <w:rPr>
          <w:rFonts w:asciiTheme="majorHAnsi" w:hAnsiTheme="majorHAnsi" w:cstheme="majorHAnsi"/>
          <w:sz w:val="22"/>
          <w:szCs w:val="22"/>
          <w:lang w:val="en-GB"/>
        </w:rPr>
        <w:t>K</w:t>
      </w:r>
      <w:r w:rsidRPr="0033364C">
        <w:rPr>
          <w:rFonts w:asciiTheme="majorHAnsi" w:hAnsiTheme="majorHAnsi" w:cstheme="majorHAnsi"/>
          <w:sz w:val="22"/>
          <w:szCs w:val="22"/>
          <w:lang w:val="en-GB"/>
        </w:rPr>
        <w:t>. Modifying and adapting PSMS to suit more ports globally also assists in setting worldwide standards with which to compare ports from a broader perspective.</w:t>
      </w:r>
    </w:p>
    <w:p w14:paraId="44A71FC7" w14:textId="2927EB1F" w:rsidR="002468E0" w:rsidRDefault="002468E0" w:rsidP="00E36957">
      <w:pPr>
        <w:shd w:val="clear" w:color="auto" w:fill="FFFFFF"/>
        <w:spacing w:line="259" w:lineRule="auto"/>
        <w:jc w:val="both"/>
        <w:rPr>
          <w:rFonts w:asciiTheme="majorHAnsi" w:hAnsiTheme="majorHAnsi" w:cstheme="majorHAnsi"/>
          <w:sz w:val="22"/>
          <w:szCs w:val="22"/>
          <w:lang w:val="en-GB"/>
        </w:rPr>
      </w:pPr>
      <w:r w:rsidRPr="0033364C">
        <w:rPr>
          <w:rFonts w:asciiTheme="majorHAnsi" w:hAnsiTheme="majorHAnsi" w:cstheme="majorHAnsi"/>
          <w:sz w:val="22"/>
          <w:szCs w:val="22"/>
          <w:lang w:val="en-GB"/>
        </w:rPr>
        <w:t>To ensure more reliable results, the systems for port self-assessments should consider the geographic location of ports. For instance, a reliable system will offer a different process of self- assessment for a port with a deep berth depth compared with a port</w:t>
      </w:r>
      <w:r>
        <w:rPr>
          <w:rFonts w:asciiTheme="majorHAnsi" w:hAnsiTheme="majorHAnsi" w:cstheme="majorHAnsi"/>
          <w:sz w:val="22"/>
          <w:szCs w:val="22"/>
          <w:lang w:val="en-GB"/>
        </w:rPr>
        <w:t>,</w:t>
      </w:r>
      <w:r w:rsidRPr="0033364C">
        <w:rPr>
          <w:rFonts w:asciiTheme="majorHAnsi" w:hAnsiTheme="majorHAnsi" w:cstheme="majorHAnsi"/>
          <w:sz w:val="22"/>
          <w:szCs w:val="22"/>
          <w:lang w:val="en-GB"/>
        </w:rPr>
        <w:t xml:space="preserve"> which is struggling with its berth depth. Also </w:t>
      </w:r>
      <w:r w:rsidRPr="0033364C">
        <w:rPr>
          <w:rFonts w:asciiTheme="majorHAnsi" w:hAnsiTheme="majorHAnsi" w:cstheme="majorHAnsi"/>
          <w:sz w:val="22"/>
          <w:szCs w:val="22"/>
          <w:lang w:val="en-GB"/>
        </w:rPr>
        <w:lastRenderedPageBreak/>
        <w:t xml:space="preserve">geographic location is important due to external threats such as terrorism, which may arise far away from the main transportation routes. </w:t>
      </w:r>
    </w:p>
    <w:p w14:paraId="7B73DC60" w14:textId="77777777" w:rsidR="00E36957" w:rsidRPr="00B31970" w:rsidRDefault="00E36957" w:rsidP="00E36957">
      <w:pPr>
        <w:shd w:val="clear" w:color="auto" w:fill="FFFFFF"/>
        <w:spacing w:line="259" w:lineRule="auto"/>
        <w:jc w:val="both"/>
        <w:rPr>
          <w:rFonts w:asciiTheme="majorHAnsi" w:hAnsiTheme="majorHAnsi" w:cstheme="majorHAnsi"/>
          <w:sz w:val="14"/>
          <w:szCs w:val="22"/>
          <w:lang w:val="en-GB"/>
        </w:rPr>
      </w:pPr>
    </w:p>
    <w:p w14:paraId="217ED01F" w14:textId="5083F86E" w:rsidR="002468E0" w:rsidRDefault="002468E0" w:rsidP="00E36957">
      <w:pPr>
        <w:shd w:val="clear" w:color="auto" w:fill="FFFFFF"/>
        <w:spacing w:line="259" w:lineRule="auto"/>
        <w:jc w:val="both"/>
        <w:rPr>
          <w:rFonts w:asciiTheme="majorHAnsi" w:hAnsiTheme="majorHAnsi" w:cstheme="majorHAnsi"/>
          <w:sz w:val="22"/>
          <w:szCs w:val="22"/>
          <w:lang w:val="en-GB"/>
        </w:rPr>
      </w:pPr>
      <w:r w:rsidRPr="0033364C">
        <w:rPr>
          <w:rFonts w:asciiTheme="majorHAnsi" w:hAnsiTheme="majorHAnsi" w:cstheme="majorHAnsi"/>
          <w:sz w:val="22"/>
          <w:szCs w:val="22"/>
          <w:lang w:val="en-GB"/>
        </w:rPr>
        <w:t xml:space="preserve">Different size of ports should be evaluated using different standards. Small ports may have an overriding priority of survival, but medium or large sized ports probably prioritize shareholders’ satisfaction. The reason for evaluating different size of ports using different standards is because </w:t>
      </w:r>
      <w:r w:rsidRPr="00D21D7F">
        <w:rPr>
          <w:rFonts w:asciiTheme="majorHAnsi" w:hAnsiTheme="majorHAnsi" w:cstheme="majorHAnsi"/>
          <w:sz w:val="22"/>
          <w:szCs w:val="22"/>
          <w:lang w:val="en-GB"/>
        </w:rPr>
        <w:t>their priorities and opportunities depend on their size. Similarly, different types of ports have different priorities concerning their infrastructure investments and customer satisfaction. Applying the same process to self-assessment of container ports, where most shipping transportation ends, and dry bulk ports</w:t>
      </w:r>
      <w:r>
        <w:rPr>
          <w:rFonts w:asciiTheme="majorHAnsi" w:hAnsiTheme="majorHAnsi" w:cstheme="majorHAnsi"/>
          <w:sz w:val="22"/>
          <w:szCs w:val="22"/>
          <w:lang w:val="en-GB"/>
        </w:rPr>
        <w:t>,</w:t>
      </w:r>
      <w:r w:rsidRPr="00D21D7F">
        <w:rPr>
          <w:rFonts w:asciiTheme="majorHAnsi" w:hAnsiTheme="majorHAnsi" w:cstheme="majorHAnsi"/>
          <w:sz w:val="22"/>
          <w:szCs w:val="22"/>
          <w:lang w:val="en-GB"/>
        </w:rPr>
        <w:t xml:space="preserve"> which are becoming less attractive to industry, may preclude reliable evaluation or reduce the validity of the evaluation. Lastly, there should be different standards for different governance type of ports. Evaluations of trust ports, which have no shareholders and plough back profits into organisational investments, differ from private ports</w:t>
      </w:r>
      <w:r>
        <w:rPr>
          <w:rFonts w:asciiTheme="majorHAnsi" w:hAnsiTheme="majorHAnsi" w:cstheme="majorHAnsi"/>
          <w:sz w:val="22"/>
          <w:szCs w:val="22"/>
          <w:lang w:val="en-GB"/>
        </w:rPr>
        <w:t>,</w:t>
      </w:r>
      <w:r w:rsidRPr="00D21D7F">
        <w:rPr>
          <w:rFonts w:asciiTheme="majorHAnsi" w:hAnsiTheme="majorHAnsi" w:cstheme="majorHAnsi"/>
          <w:sz w:val="22"/>
          <w:szCs w:val="22"/>
          <w:lang w:val="en-GB"/>
        </w:rPr>
        <w:t xml:space="preserve"> which strive to maximize shareholder satisfaction. One solution might be to vary the importance of one of the 11 pillars in a modified PSMS, as port governance varies. For instance</w:t>
      </w:r>
      <w:r w:rsidR="003D30A0">
        <w:rPr>
          <w:rFonts w:asciiTheme="majorHAnsi" w:hAnsiTheme="majorHAnsi" w:cstheme="majorHAnsi"/>
          <w:sz w:val="22"/>
          <w:szCs w:val="22"/>
          <w:lang w:val="en-GB"/>
        </w:rPr>
        <w:t>,</w:t>
      </w:r>
      <w:r w:rsidRPr="00D21D7F">
        <w:rPr>
          <w:rFonts w:asciiTheme="majorHAnsi" w:hAnsiTheme="majorHAnsi" w:cstheme="majorHAnsi"/>
          <w:sz w:val="22"/>
          <w:szCs w:val="22"/>
          <w:lang w:val="en-GB"/>
        </w:rPr>
        <w:t xml:space="preserve"> customer satisfaction may be weighted more highly when evaluating a private port because this pillar is crucial in achieving the sustainability aspirations of the port. </w:t>
      </w:r>
    </w:p>
    <w:p w14:paraId="71DE6C99" w14:textId="77777777" w:rsidR="00E36957" w:rsidRPr="00B31970" w:rsidRDefault="00E36957" w:rsidP="00E36957">
      <w:pPr>
        <w:shd w:val="clear" w:color="auto" w:fill="FFFFFF"/>
        <w:spacing w:line="259" w:lineRule="auto"/>
        <w:jc w:val="both"/>
        <w:rPr>
          <w:rFonts w:asciiTheme="majorHAnsi" w:hAnsiTheme="majorHAnsi" w:cstheme="majorHAnsi"/>
          <w:sz w:val="14"/>
          <w:szCs w:val="22"/>
          <w:lang w:val="en-GB"/>
        </w:rPr>
      </w:pPr>
    </w:p>
    <w:p w14:paraId="1902F33B" w14:textId="77777777" w:rsidR="002468E0" w:rsidRPr="00674102" w:rsidRDefault="002468E0" w:rsidP="00E36957">
      <w:pPr>
        <w:shd w:val="clear" w:color="auto" w:fill="FFFFFF"/>
        <w:spacing w:line="259" w:lineRule="auto"/>
        <w:jc w:val="both"/>
        <w:rPr>
          <w:rFonts w:asciiTheme="majorHAnsi" w:hAnsiTheme="majorHAnsi" w:cstheme="majorHAnsi"/>
          <w:b/>
          <w:sz w:val="22"/>
          <w:szCs w:val="22"/>
          <w:u w:val="single"/>
          <w:lang w:val="en-GB"/>
        </w:rPr>
      </w:pPr>
      <w:r w:rsidRPr="00674102">
        <w:rPr>
          <w:rFonts w:asciiTheme="majorHAnsi" w:hAnsiTheme="majorHAnsi" w:cstheme="majorHAnsi"/>
          <w:b/>
          <w:sz w:val="22"/>
          <w:szCs w:val="22"/>
          <w:u w:val="single"/>
          <w:lang w:val="en-GB"/>
        </w:rPr>
        <w:t>Conclusion</w:t>
      </w:r>
    </w:p>
    <w:p w14:paraId="1098755D" w14:textId="2537A9EB" w:rsidR="001A10C5" w:rsidRDefault="002468E0" w:rsidP="00E36957">
      <w:pPr>
        <w:shd w:val="clear" w:color="auto" w:fill="FFFFFF"/>
        <w:spacing w:line="259" w:lineRule="auto"/>
        <w:jc w:val="both"/>
        <w:rPr>
          <w:rFonts w:asciiTheme="majorHAnsi" w:hAnsiTheme="majorHAnsi" w:cstheme="majorHAnsi"/>
          <w:sz w:val="22"/>
          <w:szCs w:val="22"/>
          <w:lang w:val="en-GB"/>
        </w:rPr>
      </w:pPr>
      <w:r w:rsidRPr="00674102">
        <w:rPr>
          <w:rFonts w:asciiTheme="majorHAnsi" w:hAnsiTheme="majorHAnsi" w:cstheme="majorHAnsi"/>
          <w:sz w:val="22"/>
          <w:szCs w:val="22"/>
          <w:lang w:val="en-GB"/>
        </w:rPr>
        <w:t>Bureaucracy, culture and governance are possible additions to the original 11 pillars of PSMS following the data analysis. Future outputs will include recommendations regarding how global applications of PSMS would require modifications to ensure reliability in terms of sustainability awareness, management, systems and processes in ports.</w:t>
      </w:r>
      <w:r w:rsidR="00C71E7C">
        <w:rPr>
          <w:rFonts w:asciiTheme="majorHAnsi" w:hAnsiTheme="majorHAnsi" w:cstheme="majorHAnsi"/>
          <w:sz w:val="22"/>
          <w:szCs w:val="22"/>
          <w:lang w:val="en-GB"/>
        </w:rPr>
        <w:t xml:space="preserve"> </w:t>
      </w:r>
    </w:p>
    <w:p w14:paraId="637E72C3" w14:textId="77777777" w:rsidR="00E36957" w:rsidRPr="00B31970" w:rsidRDefault="00E36957" w:rsidP="00E36957">
      <w:pPr>
        <w:shd w:val="clear" w:color="auto" w:fill="FFFFFF"/>
        <w:spacing w:line="259" w:lineRule="auto"/>
        <w:jc w:val="both"/>
        <w:rPr>
          <w:rFonts w:asciiTheme="majorHAnsi" w:hAnsiTheme="majorHAnsi" w:cstheme="majorHAnsi"/>
          <w:sz w:val="14"/>
          <w:szCs w:val="22"/>
          <w:lang w:val="en-GB"/>
        </w:rPr>
      </w:pPr>
    </w:p>
    <w:p w14:paraId="4375BAF6" w14:textId="4935DE26" w:rsidR="002468E0" w:rsidRDefault="002468E0" w:rsidP="00E36957">
      <w:pPr>
        <w:shd w:val="clear" w:color="auto" w:fill="FFFFFF"/>
        <w:spacing w:line="259" w:lineRule="auto"/>
        <w:jc w:val="both"/>
        <w:rPr>
          <w:rFonts w:asciiTheme="majorHAnsi" w:hAnsiTheme="majorHAnsi" w:cstheme="majorHAnsi"/>
          <w:sz w:val="22"/>
          <w:szCs w:val="22"/>
          <w:lang w:val="en-GB"/>
        </w:rPr>
      </w:pPr>
      <w:r w:rsidRPr="00674102">
        <w:rPr>
          <w:rFonts w:asciiTheme="majorHAnsi" w:hAnsiTheme="majorHAnsi" w:cstheme="majorHAnsi"/>
          <w:sz w:val="22"/>
          <w:szCs w:val="22"/>
          <w:lang w:val="en-GB"/>
        </w:rPr>
        <w:t xml:space="preserve">In these potential three additions, </w:t>
      </w:r>
      <w:r>
        <w:rPr>
          <w:rFonts w:asciiTheme="majorHAnsi" w:hAnsiTheme="majorHAnsi" w:cstheme="majorHAnsi"/>
          <w:sz w:val="22"/>
          <w:szCs w:val="22"/>
          <w:lang w:val="en-GB"/>
        </w:rPr>
        <w:t>“</w:t>
      </w:r>
      <w:r w:rsidRPr="00674102">
        <w:rPr>
          <w:rFonts w:asciiTheme="majorHAnsi" w:hAnsiTheme="majorHAnsi" w:cstheme="majorHAnsi"/>
          <w:sz w:val="22"/>
          <w:szCs w:val="22"/>
          <w:lang w:val="en-GB"/>
        </w:rPr>
        <w:t>culture</w:t>
      </w:r>
      <w:r>
        <w:rPr>
          <w:rFonts w:asciiTheme="majorHAnsi" w:hAnsiTheme="majorHAnsi" w:cstheme="majorHAnsi"/>
          <w:sz w:val="22"/>
          <w:szCs w:val="22"/>
          <w:lang w:val="en-GB"/>
        </w:rPr>
        <w:t>”</w:t>
      </w:r>
      <w:r w:rsidRPr="00674102">
        <w:rPr>
          <w:rFonts w:asciiTheme="majorHAnsi" w:hAnsiTheme="majorHAnsi" w:cstheme="majorHAnsi"/>
          <w:sz w:val="22"/>
          <w:szCs w:val="22"/>
          <w:lang w:val="en-GB"/>
        </w:rPr>
        <w:t xml:space="preserve"> may be the 12</w:t>
      </w:r>
      <w:r w:rsidRPr="00674102">
        <w:rPr>
          <w:rFonts w:asciiTheme="majorHAnsi" w:hAnsiTheme="majorHAnsi" w:cstheme="majorHAnsi"/>
          <w:sz w:val="22"/>
          <w:szCs w:val="22"/>
          <w:vertAlign w:val="superscript"/>
          <w:lang w:val="en-GB"/>
        </w:rPr>
        <w:t>th</w:t>
      </w:r>
      <w:r w:rsidRPr="00674102">
        <w:rPr>
          <w:rFonts w:asciiTheme="majorHAnsi" w:hAnsiTheme="majorHAnsi" w:cstheme="majorHAnsi"/>
          <w:sz w:val="22"/>
          <w:szCs w:val="22"/>
          <w:lang w:val="en-GB"/>
        </w:rPr>
        <w:t xml:space="preserve"> pillar of the system with two sub-pillars underneath, namely </w:t>
      </w:r>
      <w:r>
        <w:rPr>
          <w:rFonts w:asciiTheme="majorHAnsi" w:hAnsiTheme="majorHAnsi" w:cstheme="majorHAnsi"/>
          <w:sz w:val="22"/>
          <w:szCs w:val="22"/>
          <w:lang w:val="en-GB"/>
        </w:rPr>
        <w:t>“</w:t>
      </w:r>
      <w:r w:rsidRPr="00674102">
        <w:rPr>
          <w:rFonts w:asciiTheme="majorHAnsi" w:hAnsiTheme="majorHAnsi" w:cstheme="majorHAnsi"/>
          <w:sz w:val="22"/>
          <w:szCs w:val="22"/>
          <w:lang w:val="en-GB"/>
        </w:rPr>
        <w:t>organisational culture</w:t>
      </w:r>
      <w:r>
        <w:rPr>
          <w:rFonts w:asciiTheme="majorHAnsi" w:hAnsiTheme="majorHAnsi" w:cstheme="majorHAnsi"/>
          <w:sz w:val="22"/>
          <w:szCs w:val="22"/>
          <w:lang w:val="en-GB"/>
        </w:rPr>
        <w:t>”</w:t>
      </w:r>
      <w:r w:rsidRPr="00674102">
        <w:rPr>
          <w:rFonts w:asciiTheme="majorHAnsi" w:hAnsiTheme="majorHAnsi" w:cstheme="majorHAnsi"/>
          <w:sz w:val="22"/>
          <w:szCs w:val="22"/>
          <w:lang w:val="en-GB"/>
        </w:rPr>
        <w:t xml:space="preserve"> and </w:t>
      </w:r>
      <w:r>
        <w:rPr>
          <w:rFonts w:asciiTheme="majorHAnsi" w:hAnsiTheme="majorHAnsi" w:cstheme="majorHAnsi"/>
          <w:sz w:val="22"/>
          <w:szCs w:val="22"/>
          <w:lang w:val="en-GB"/>
        </w:rPr>
        <w:t>“</w:t>
      </w:r>
      <w:r w:rsidRPr="00674102">
        <w:rPr>
          <w:rFonts w:asciiTheme="majorHAnsi" w:hAnsiTheme="majorHAnsi" w:cstheme="majorHAnsi"/>
          <w:sz w:val="22"/>
          <w:szCs w:val="22"/>
          <w:lang w:val="en-GB"/>
        </w:rPr>
        <w:t>oriental working culture</w:t>
      </w:r>
      <w:r>
        <w:rPr>
          <w:rFonts w:asciiTheme="majorHAnsi" w:hAnsiTheme="majorHAnsi" w:cstheme="majorHAnsi"/>
          <w:sz w:val="22"/>
          <w:szCs w:val="22"/>
          <w:lang w:val="en-GB"/>
        </w:rPr>
        <w:t>”</w:t>
      </w:r>
      <w:r w:rsidRPr="00674102">
        <w:rPr>
          <w:rFonts w:asciiTheme="majorHAnsi" w:hAnsiTheme="majorHAnsi" w:cstheme="majorHAnsi"/>
          <w:sz w:val="22"/>
          <w:szCs w:val="22"/>
          <w:lang w:val="en-GB"/>
        </w:rPr>
        <w:t xml:space="preserve">. Bureaucracy can be added as a sub-pillar under the pillar of “effectiveness of management processes” because it affects the efficiency of the management processes. Regarding potential modification of “governance”, it may be appropriate to modify the standards of the current </w:t>
      </w:r>
      <w:r>
        <w:rPr>
          <w:rFonts w:asciiTheme="majorHAnsi" w:hAnsiTheme="majorHAnsi" w:cstheme="majorHAnsi"/>
          <w:sz w:val="22"/>
          <w:szCs w:val="22"/>
          <w:lang w:val="en-GB"/>
        </w:rPr>
        <w:t xml:space="preserve">11 </w:t>
      </w:r>
      <w:r w:rsidRPr="00674102">
        <w:rPr>
          <w:rFonts w:asciiTheme="majorHAnsi" w:hAnsiTheme="majorHAnsi" w:cstheme="majorHAnsi"/>
          <w:sz w:val="22"/>
          <w:szCs w:val="22"/>
          <w:lang w:val="en-GB"/>
        </w:rPr>
        <w:t xml:space="preserve">pillar PSMS dependant on the governance type of a port. </w:t>
      </w:r>
      <w:r w:rsidR="005D22F5">
        <w:rPr>
          <w:rFonts w:asciiTheme="majorHAnsi" w:hAnsiTheme="majorHAnsi" w:cstheme="majorHAnsi"/>
          <w:sz w:val="22"/>
          <w:szCs w:val="22"/>
          <w:lang w:val="en-GB"/>
        </w:rPr>
        <w:t>Lastly, updated model of PSMS is illustrated in Figure 3 to give idea about the modified PSMS.</w:t>
      </w:r>
    </w:p>
    <w:p w14:paraId="32982ECC" w14:textId="77777777" w:rsidR="00B31970" w:rsidRPr="00B31970" w:rsidRDefault="00B31970" w:rsidP="00E36957">
      <w:pPr>
        <w:shd w:val="clear" w:color="auto" w:fill="FFFFFF"/>
        <w:spacing w:line="259" w:lineRule="auto"/>
        <w:jc w:val="both"/>
        <w:rPr>
          <w:rFonts w:asciiTheme="majorHAnsi" w:hAnsiTheme="majorHAnsi" w:cstheme="majorHAnsi"/>
          <w:sz w:val="12"/>
          <w:szCs w:val="22"/>
          <w:lang w:val="en-GB"/>
        </w:rPr>
      </w:pPr>
    </w:p>
    <w:p w14:paraId="341DC95B" w14:textId="41243C8A" w:rsidR="005D22F5" w:rsidRPr="00FB7435" w:rsidRDefault="00260AD8" w:rsidP="00EC5AF4">
      <w:pPr>
        <w:shd w:val="clear" w:color="auto" w:fill="FFFFFF"/>
        <w:spacing w:after="160" w:line="259" w:lineRule="auto"/>
        <w:jc w:val="both"/>
        <w:rPr>
          <w:rFonts w:asciiTheme="majorHAnsi" w:hAnsiTheme="majorHAnsi" w:cstheme="majorHAnsi"/>
          <w:sz w:val="22"/>
          <w:szCs w:val="22"/>
          <w:lang w:val="en-GB"/>
        </w:rPr>
      </w:pPr>
      <w:r>
        <w:rPr>
          <w:rFonts w:asciiTheme="majorHAnsi" w:hAnsiTheme="majorHAnsi" w:cstheme="majorHAnsi"/>
          <w:noProof/>
          <w:sz w:val="22"/>
          <w:szCs w:val="22"/>
          <w:lang w:val="en-GB" w:eastAsia="ko-KR"/>
        </w:rPr>
        <w:drawing>
          <wp:inline distT="0" distB="0" distL="0" distR="0" wp14:anchorId="114B3062" wp14:editId="594B846D">
            <wp:extent cx="5753100" cy="2995930"/>
            <wp:effectExtent l="0" t="0" r="12700" b="1270"/>
            <wp:docPr id="6" name="Picture 6" descr="Macintosh HD:Users:rdvkrcy:Desktop:Screen Shot 2018-06-19 at 23.4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rdvkrcy:Desktop:Screen Shot 2018-06-19 at 23.46.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2995930"/>
                    </a:xfrm>
                    <a:prstGeom prst="rect">
                      <a:avLst/>
                    </a:prstGeom>
                    <a:noFill/>
                    <a:ln>
                      <a:noFill/>
                    </a:ln>
                  </pic:spPr>
                </pic:pic>
              </a:graphicData>
            </a:graphic>
          </wp:inline>
        </w:drawing>
      </w:r>
    </w:p>
    <w:p w14:paraId="757AA834" w14:textId="344E86BF" w:rsidR="00AB72C3" w:rsidRPr="00E36957" w:rsidRDefault="005D22F5" w:rsidP="00E36957">
      <w:pPr>
        <w:pStyle w:val="Caption"/>
        <w:spacing w:after="0" w:line="259" w:lineRule="auto"/>
        <w:jc w:val="center"/>
        <w:rPr>
          <w:rFonts w:ascii="Calibri" w:hAnsi="Calibri" w:cstheme="majorHAnsi"/>
          <w:b w:val="0"/>
          <w:color w:val="auto"/>
          <w:sz w:val="22"/>
          <w:szCs w:val="22"/>
          <w:lang w:val="en-GB"/>
        </w:rPr>
      </w:pPr>
      <w:r w:rsidRPr="00E36957">
        <w:rPr>
          <w:rFonts w:ascii="Calibri" w:hAnsi="Calibri"/>
          <w:b w:val="0"/>
          <w:color w:val="auto"/>
          <w:sz w:val="22"/>
          <w:szCs w:val="22"/>
        </w:rPr>
        <w:t xml:space="preserve">Figure </w:t>
      </w:r>
      <w:r w:rsidRPr="00E36957">
        <w:rPr>
          <w:rFonts w:ascii="Calibri" w:hAnsi="Calibri"/>
          <w:b w:val="0"/>
          <w:color w:val="auto"/>
          <w:sz w:val="22"/>
          <w:szCs w:val="22"/>
        </w:rPr>
        <w:fldChar w:fldCharType="begin"/>
      </w:r>
      <w:r w:rsidRPr="00E36957">
        <w:rPr>
          <w:rFonts w:ascii="Calibri" w:hAnsi="Calibri"/>
          <w:b w:val="0"/>
          <w:color w:val="auto"/>
          <w:sz w:val="22"/>
          <w:szCs w:val="22"/>
        </w:rPr>
        <w:instrText xml:space="preserve"> SEQ Figure \* ARABIC </w:instrText>
      </w:r>
      <w:r w:rsidRPr="00E36957">
        <w:rPr>
          <w:rFonts w:ascii="Calibri" w:hAnsi="Calibri"/>
          <w:b w:val="0"/>
          <w:color w:val="auto"/>
          <w:sz w:val="22"/>
          <w:szCs w:val="22"/>
        </w:rPr>
        <w:fldChar w:fldCharType="separate"/>
      </w:r>
      <w:r w:rsidR="001A10C5" w:rsidRPr="00E36957">
        <w:rPr>
          <w:rFonts w:ascii="Calibri" w:hAnsi="Calibri"/>
          <w:b w:val="0"/>
          <w:noProof/>
          <w:color w:val="auto"/>
          <w:sz w:val="22"/>
          <w:szCs w:val="22"/>
        </w:rPr>
        <w:t>4</w:t>
      </w:r>
      <w:r w:rsidRPr="00E36957">
        <w:rPr>
          <w:rFonts w:ascii="Calibri" w:hAnsi="Calibri"/>
          <w:b w:val="0"/>
          <w:color w:val="auto"/>
          <w:sz w:val="22"/>
          <w:szCs w:val="22"/>
        </w:rPr>
        <w:fldChar w:fldCharType="end"/>
      </w:r>
      <w:r w:rsidR="00CA1FEF" w:rsidRPr="00E36957">
        <w:rPr>
          <w:rFonts w:ascii="Calibri" w:hAnsi="Calibri"/>
          <w:b w:val="0"/>
          <w:color w:val="auto"/>
          <w:sz w:val="22"/>
          <w:szCs w:val="22"/>
        </w:rPr>
        <w:t xml:space="preserve">: Potential Pillar/Sub-pillar </w:t>
      </w:r>
      <w:r w:rsidR="007E1AD8" w:rsidRPr="00E36957">
        <w:rPr>
          <w:rFonts w:ascii="Calibri" w:hAnsi="Calibri"/>
          <w:b w:val="0"/>
          <w:color w:val="auto"/>
          <w:sz w:val="22"/>
          <w:szCs w:val="22"/>
        </w:rPr>
        <w:t xml:space="preserve">Additions </w:t>
      </w:r>
      <w:r w:rsidR="001533AB" w:rsidRPr="00E36957">
        <w:rPr>
          <w:rFonts w:ascii="Calibri" w:hAnsi="Calibri"/>
          <w:b w:val="0"/>
          <w:color w:val="auto"/>
          <w:sz w:val="22"/>
          <w:szCs w:val="22"/>
        </w:rPr>
        <w:t>to</w:t>
      </w:r>
      <w:r w:rsidR="00CA1FEF" w:rsidRPr="00E36957">
        <w:rPr>
          <w:rFonts w:ascii="Calibri" w:hAnsi="Calibri"/>
          <w:b w:val="0"/>
          <w:color w:val="auto"/>
          <w:sz w:val="22"/>
          <w:szCs w:val="22"/>
        </w:rPr>
        <w:t xml:space="preserve"> </w:t>
      </w:r>
      <w:r w:rsidR="009C7030" w:rsidRPr="00E36957">
        <w:rPr>
          <w:rFonts w:ascii="Calibri" w:hAnsi="Calibri"/>
          <w:b w:val="0"/>
          <w:color w:val="auto"/>
          <w:sz w:val="22"/>
          <w:szCs w:val="22"/>
        </w:rPr>
        <w:t>PSMS</w:t>
      </w:r>
    </w:p>
    <w:p w14:paraId="3732B083" w14:textId="548F7CE3" w:rsidR="005C5F1F" w:rsidRPr="00FA0A0E" w:rsidRDefault="002468E0" w:rsidP="00E36957">
      <w:pPr>
        <w:shd w:val="clear" w:color="auto" w:fill="FFFFFF"/>
        <w:spacing w:line="259" w:lineRule="auto"/>
        <w:jc w:val="both"/>
        <w:rPr>
          <w:rFonts w:asciiTheme="majorHAnsi" w:hAnsiTheme="majorHAnsi" w:cstheme="majorHAnsi"/>
          <w:sz w:val="22"/>
          <w:szCs w:val="22"/>
          <w:lang w:val="en-GB"/>
        </w:rPr>
      </w:pPr>
      <w:bookmarkStart w:id="0" w:name="_GoBack"/>
      <w:bookmarkEnd w:id="0"/>
      <w:r>
        <w:rPr>
          <w:rFonts w:asciiTheme="majorHAnsi" w:hAnsiTheme="majorHAnsi" w:cstheme="majorHAnsi"/>
          <w:sz w:val="22"/>
          <w:szCs w:val="22"/>
          <w:lang w:val="en-GB"/>
        </w:rPr>
        <w:lastRenderedPageBreak/>
        <w:t>Ongoing</w:t>
      </w:r>
      <w:r w:rsidRPr="0023485C">
        <w:rPr>
          <w:rFonts w:asciiTheme="majorHAnsi" w:hAnsiTheme="majorHAnsi" w:cstheme="majorHAnsi"/>
          <w:sz w:val="22"/>
          <w:szCs w:val="22"/>
          <w:lang w:val="en-GB"/>
        </w:rPr>
        <w:t xml:space="preserve"> research will be requ</w:t>
      </w:r>
      <w:r>
        <w:rPr>
          <w:rFonts w:asciiTheme="majorHAnsi" w:hAnsiTheme="majorHAnsi" w:cstheme="majorHAnsi"/>
          <w:sz w:val="22"/>
          <w:szCs w:val="22"/>
          <w:lang w:val="en-GB"/>
        </w:rPr>
        <w:t>ired</w:t>
      </w:r>
      <w:r w:rsidRPr="0023485C">
        <w:rPr>
          <w:rFonts w:asciiTheme="majorHAnsi" w:hAnsiTheme="majorHAnsi" w:cstheme="majorHAnsi"/>
          <w:sz w:val="22"/>
          <w:szCs w:val="22"/>
          <w:lang w:val="en-GB"/>
        </w:rPr>
        <w:t xml:space="preserve"> to test potential additions </w:t>
      </w:r>
      <w:r>
        <w:rPr>
          <w:rFonts w:asciiTheme="majorHAnsi" w:hAnsiTheme="majorHAnsi" w:cstheme="majorHAnsi"/>
          <w:sz w:val="22"/>
          <w:szCs w:val="22"/>
          <w:lang w:val="en-GB"/>
        </w:rPr>
        <w:t>and</w:t>
      </w:r>
      <w:r w:rsidRPr="0023485C">
        <w:rPr>
          <w:rFonts w:asciiTheme="majorHAnsi" w:hAnsiTheme="majorHAnsi" w:cstheme="majorHAnsi"/>
          <w:sz w:val="22"/>
          <w:szCs w:val="22"/>
          <w:lang w:val="en-GB"/>
        </w:rPr>
        <w:t xml:space="preserve"> </w:t>
      </w:r>
      <w:r>
        <w:rPr>
          <w:rFonts w:asciiTheme="majorHAnsi" w:hAnsiTheme="majorHAnsi" w:cstheme="majorHAnsi"/>
          <w:sz w:val="22"/>
          <w:szCs w:val="22"/>
          <w:lang w:val="en-GB"/>
        </w:rPr>
        <w:t>modifications to</w:t>
      </w:r>
      <w:r w:rsidRPr="0023485C">
        <w:rPr>
          <w:rFonts w:asciiTheme="majorHAnsi" w:hAnsiTheme="majorHAnsi" w:cstheme="majorHAnsi"/>
          <w:sz w:val="22"/>
          <w:szCs w:val="22"/>
          <w:lang w:val="en-GB"/>
        </w:rPr>
        <w:t xml:space="preserve"> </w:t>
      </w:r>
      <w:r>
        <w:rPr>
          <w:rFonts w:asciiTheme="majorHAnsi" w:hAnsiTheme="majorHAnsi" w:cstheme="majorHAnsi"/>
          <w:sz w:val="22"/>
          <w:szCs w:val="22"/>
          <w:lang w:val="en-GB"/>
        </w:rPr>
        <w:t xml:space="preserve">the </w:t>
      </w:r>
      <w:r w:rsidRPr="0023485C">
        <w:rPr>
          <w:rFonts w:asciiTheme="majorHAnsi" w:hAnsiTheme="majorHAnsi" w:cstheme="majorHAnsi"/>
          <w:sz w:val="22"/>
          <w:szCs w:val="22"/>
          <w:lang w:val="en-GB"/>
        </w:rPr>
        <w:t xml:space="preserve">PSMS </w:t>
      </w:r>
      <w:r>
        <w:rPr>
          <w:rFonts w:asciiTheme="majorHAnsi" w:hAnsiTheme="majorHAnsi" w:cstheme="majorHAnsi"/>
          <w:sz w:val="22"/>
          <w:szCs w:val="22"/>
          <w:lang w:val="en-GB"/>
        </w:rPr>
        <w:t xml:space="preserve">to enable PSMS to </w:t>
      </w:r>
      <w:r w:rsidRPr="0023485C">
        <w:rPr>
          <w:rFonts w:asciiTheme="majorHAnsi" w:hAnsiTheme="majorHAnsi" w:cstheme="majorHAnsi"/>
          <w:sz w:val="22"/>
          <w:szCs w:val="22"/>
          <w:lang w:val="en-GB"/>
        </w:rPr>
        <w:t>reliabl</w:t>
      </w:r>
      <w:r>
        <w:rPr>
          <w:rFonts w:asciiTheme="majorHAnsi" w:hAnsiTheme="majorHAnsi" w:cstheme="majorHAnsi"/>
          <w:sz w:val="22"/>
          <w:szCs w:val="22"/>
          <w:lang w:val="en-GB"/>
        </w:rPr>
        <w:t>y incorporate</w:t>
      </w:r>
      <w:r w:rsidRPr="0023485C">
        <w:rPr>
          <w:rFonts w:asciiTheme="majorHAnsi" w:hAnsiTheme="majorHAnsi" w:cstheme="majorHAnsi"/>
          <w:sz w:val="22"/>
          <w:szCs w:val="22"/>
          <w:lang w:val="en-GB"/>
        </w:rPr>
        <w:t xml:space="preserve"> sustainability awareness, management, systems and processes in ports globally. </w:t>
      </w:r>
    </w:p>
    <w:p w14:paraId="1386B860" w14:textId="77777777" w:rsidR="00E24D7A" w:rsidRDefault="00E24D7A" w:rsidP="00EC5AF4">
      <w:pPr>
        <w:shd w:val="clear" w:color="auto" w:fill="FFFFFF"/>
        <w:spacing w:after="160" w:line="259" w:lineRule="auto"/>
        <w:jc w:val="both"/>
        <w:rPr>
          <w:rFonts w:asciiTheme="majorHAnsi" w:hAnsiTheme="majorHAnsi" w:cstheme="majorHAnsi"/>
          <w:b/>
          <w:sz w:val="22"/>
          <w:szCs w:val="22"/>
          <w:u w:val="single"/>
          <w:lang w:val="en-GB"/>
        </w:rPr>
      </w:pPr>
    </w:p>
    <w:p w14:paraId="4C136D69" w14:textId="74EC6044" w:rsidR="002468E0" w:rsidRPr="0023485C" w:rsidRDefault="002468E0" w:rsidP="00B31970">
      <w:pPr>
        <w:shd w:val="clear" w:color="auto" w:fill="FFFFFF"/>
        <w:spacing w:line="259" w:lineRule="auto"/>
        <w:jc w:val="both"/>
        <w:rPr>
          <w:rFonts w:asciiTheme="majorHAnsi" w:hAnsiTheme="majorHAnsi" w:cstheme="majorHAnsi"/>
          <w:sz w:val="22"/>
          <w:szCs w:val="22"/>
          <w:lang w:val="en-GB"/>
        </w:rPr>
      </w:pPr>
      <w:r w:rsidRPr="0023485C">
        <w:rPr>
          <w:rFonts w:asciiTheme="majorHAnsi" w:hAnsiTheme="majorHAnsi" w:cstheme="majorHAnsi"/>
          <w:b/>
          <w:sz w:val="22"/>
          <w:szCs w:val="22"/>
          <w:u w:val="single"/>
          <w:lang w:val="en-GB"/>
        </w:rPr>
        <w:t>References</w:t>
      </w:r>
    </w:p>
    <w:p w14:paraId="2059246C" w14:textId="77777777" w:rsidR="002468E0" w:rsidRPr="00E36957" w:rsidRDefault="002468E0" w:rsidP="00E36957">
      <w:pPr>
        <w:pStyle w:val="ListParagraph"/>
        <w:numPr>
          <w:ilvl w:val="0"/>
          <w:numId w:val="2"/>
        </w:numPr>
        <w:shd w:val="clear" w:color="auto" w:fill="FFFFFF"/>
        <w:spacing w:after="160" w:line="259" w:lineRule="auto"/>
        <w:ind w:left="567" w:hanging="283"/>
        <w:jc w:val="both"/>
        <w:rPr>
          <w:rFonts w:ascii="Calibri" w:hAnsi="Calibri" w:cs="Calibri"/>
          <w:b/>
          <w:sz w:val="22"/>
          <w:szCs w:val="22"/>
          <w:u w:val="single"/>
          <w:lang w:val="en-GB"/>
        </w:rPr>
      </w:pPr>
      <w:proofErr w:type="spellStart"/>
      <w:r w:rsidRPr="00E36957">
        <w:rPr>
          <w:rFonts w:ascii="Calibri" w:hAnsi="Calibri" w:cs="Calibri"/>
          <w:sz w:val="22"/>
          <w:szCs w:val="22"/>
          <w:lang w:val="en-GB"/>
        </w:rPr>
        <w:t>Alhojailan</w:t>
      </w:r>
      <w:proofErr w:type="spellEnd"/>
      <w:r w:rsidRPr="00E36957">
        <w:rPr>
          <w:rFonts w:ascii="Calibri" w:hAnsi="Calibri" w:cs="Calibri"/>
          <w:sz w:val="22"/>
          <w:szCs w:val="22"/>
          <w:lang w:val="en-GB"/>
        </w:rPr>
        <w:t xml:space="preserve">, M. I. (2012), ‘Thematic Analysis: A Critical Review of Its Process and Evaluation’. </w:t>
      </w:r>
      <w:r w:rsidRPr="00E36957">
        <w:rPr>
          <w:rFonts w:ascii="Calibri" w:hAnsi="Calibri" w:cs="Calibri"/>
          <w:i/>
          <w:iCs/>
          <w:sz w:val="22"/>
          <w:szCs w:val="22"/>
          <w:lang w:val="en-GB"/>
        </w:rPr>
        <w:t>West East Journal of Social Sciences</w:t>
      </w:r>
      <w:r w:rsidRPr="00E36957">
        <w:rPr>
          <w:rFonts w:ascii="Calibri" w:hAnsi="Calibri" w:cs="Calibri"/>
          <w:sz w:val="22"/>
          <w:szCs w:val="22"/>
          <w:lang w:val="en-GB"/>
        </w:rPr>
        <w:t xml:space="preserve"> Vol. 1 No. 1 p.40.</w:t>
      </w:r>
    </w:p>
    <w:p w14:paraId="16D6FD75" w14:textId="77777777" w:rsidR="002468E0" w:rsidRPr="00E36957" w:rsidRDefault="002468E0" w:rsidP="00E36957">
      <w:pPr>
        <w:pStyle w:val="ListParagraph"/>
        <w:numPr>
          <w:ilvl w:val="0"/>
          <w:numId w:val="2"/>
        </w:numPr>
        <w:shd w:val="clear" w:color="auto" w:fill="FFFFFF"/>
        <w:spacing w:after="160" w:line="259" w:lineRule="auto"/>
        <w:ind w:left="567" w:hanging="283"/>
        <w:jc w:val="both"/>
        <w:rPr>
          <w:rFonts w:ascii="Calibri" w:hAnsi="Calibri" w:cs="Calibri"/>
          <w:b/>
          <w:sz w:val="22"/>
          <w:szCs w:val="22"/>
          <w:u w:val="single"/>
          <w:lang w:val="en-GB"/>
        </w:rPr>
      </w:pPr>
      <w:r w:rsidRPr="00E36957">
        <w:rPr>
          <w:rFonts w:ascii="Calibri" w:hAnsi="Calibri" w:cs="Calibri"/>
          <w:sz w:val="22"/>
          <w:szCs w:val="22"/>
          <w:lang w:val="en-GB"/>
        </w:rPr>
        <w:t xml:space="preserve">Braun, V. &amp; Clarke V. (2006), ‘Using Thematic Analysis in Psychology’, </w:t>
      </w:r>
      <w:r w:rsidRPr="00E36957">
        <w:rPr>
          <w:rFonts w:ascii="Calibri" w:hAnsi="Calibri" w:cs="Calibri"/>
          <w:i/>
          <w:iCs/>
          <w:sz w:val="22"/>
          <w:szCs w:val="22"/>
          <w:lang w:val="en-GB"/>
        </w:rPr>
        <w:t>Qualitative Research in Psychology</w:t>
      </w:r>
      <w:r w:rsidRPr="00E36957">
        <w:rPr>
          <w:rFonts w:ascii="Calibri" w:hAnsi="Calibri" w:cs="Calibri"/>
          <w:i/>
          <w:sz w:val="22"/>
          <w:szCs w:val="22"/>
          <w:lang w:val="en-GB"/>
        </w:rPr>
        <w:t xml:space="preserve"> </w:t>
      </w:r>
      <w:r w:rsidRPr="00E36957">
        <w:rPr>
          <w:rFonts w:ascii="Calibri" w:hAnsi="Calibri" w:cs="Calibri"/>
          <w:sz w:val="22"/>
          <w:szCs w:val="22"/>
          <w:lang w:val="en-GB"/>
        </w:rPr>
        <w:t>Vol. 3, pp. 77-101.</w:t>
      </w:r>
    </w:p>
    <w:p w14:paraId="50C62A26" w14:textId="77777777" w:rsidR="002468E0" w:rsidRPr="00E36957" w:rsidRDefault="002468E0" w:rsidP="00E36957">
      <w:pPr>
        <w:pStyle w:val="ListParagraph"/>
        <w:numPr>
          <w:ilvl w:val="0"/>
          <w:numId w:val="2"/>
        </w:numPr>
        <w:shd w:val="clear" w:color="auto" w:fill="FFFFFF"/>
        <w:spacing w:after="160" w:line="259" w:lineRule="auto"/>
        <w:ind w:left="567" w:hanging="283"/>
        <w:jc w:val="both"/>
        <w:rPr>
          <w:rFonts w:ascii="Calibri" w:hAnsi="Calibri" w:cs="Calibri"/>
          <w:b/>
          <w:sz w:val="22"/>
          <w:szCs w:val="22"/>
          <w:u w:val="single"/>
          <w:lang w:val="en-GB"/>
        </w:rPr>
      </w:pPr>
      <w:proofErr w:type="spellStart"/>
      <w:r w:rsidRPr="00E36957">
        <w:rPr>
          <w:rFonts w:ascii="Calibri" w:eastAsia="Times New Roman" w:hAnsi="Calibri" w:cs="Calibri"/>
          <w:sz w:val="22"/>
          <w:szCs w:val="22"/>
          <w:shd w:val="clear" w:color="auto" w:fill="FFFFFF"/>
          <w:lang w:val="en-GB"/>
        </w:rPr>
        <w:t>Çağlayan</w:t>
      </w:r>
      <w:proofErr w:type="spellEnd"/>
      <w:r w:rsidRPr="00E36957">
        <w:rPr>
          <w:rFonts w:ascii="Calibri" w:eastAsia="Times New Roman" w:hAnsi="Calibri" w:cs="Calibri"/>
          <w:sz w:val="22"/>
          <w:szCs w:val="22"/>
          <w:shd w:val="clear" w:color="auto" w:fill="FFFFFF"/>
          <w:lang w:val="en-GB"/>
        </w:rPr>
        <w:t>, E. (2018). </w:t>
      </w:r>
      <w:r w:rsidRPr="00E36957">
        <w:rPr>
          <w:rFonts w:ascii="Calibri" w:eastAsia="Times New Roman" w:hAnsi="Calibri" w:cs="Calibri"/>
          <w:iCs/>
          <w:sz w:val="22"/>
          <w:szCs w:val="22"/>
          <w:lang w:val="en-GB"/>
        </w:rPr>
        <w:t xml:space="preserve">Global Investment Holdings - Port </w:t>
      </w:r>
      <w:proofErr w:type="spellStart"/>
      <w:r w:rsidRPr="00E36957">
        <w:rPr>
          <w:rFonts w:ascii="Calibri" w:eastAsia="Times New Roman" w:hAnsi="Calibri" w:cs="Calibri"/>
          <w:iCs/>
          <w:sz w:val="22"/>
          <w:szCs w:val="22"/>
          <w:lang w:val="en-GB"/>
        </w:rPr>
        <w:t>Akdeniz</w:t>
      </w:r>
      <w:proofErr w:type="spellEnd"/>
      <w:r w:rsidRPr="00E36957">
        <w:rPr>
          <w:rFonts w:ascii="Calibri" w:eastAsia="Times New Roman" w:hAnsi="Calibri" w:cs="Calibri"/>
          <w:sz w:val="22"/>
          <w:szCs w:val="22"/>
          <w:shd w:val="clear" w:color="auto" w:fill="FFFFFF"/>
          <w:lang w:val="en-GB"/>
        </w:rPr>
        <w:t>. [online] Globalyatirim.com.tr. Available at: https://www.globalyatirim.com.tr/en/investments/ports/global-ports-holding/77-port-akdeniz [Accessed 7 Jun. 2018].</w:t>
      </w:r>
    </w:p>
    <w:p w14:paraId="5D4BD9EE" w14:textId="77777777" w:rsidR="002468E0" w:rsidRPr="00E36957" w:rsidRDefault="002468E0" w:rsidP="00E36957">
      <w:pPr>
        <w:pStyle w:val="ListParagraph"/>
        <w:numPr>
          <w:ilvl w:val="0"/>
          <w:numId w:val="2"/>
        </w:numPr>
        <w:shd w:val="clear" w:color="auto" w:fill="FFFFFF"/>
        <w:spacing w:after="160" w:line="259" w:lineRule="auto"/>
        <w:ind w:left="567" w:hanging="283"/>
        <w:jc w:val="both"/>
        <w:rPr>
          <w:rFonts w:ascii="Calibri" w:hAnsi="Calibri" w:cs="Calibri"/>
          <w:b/>
          <w:sz w:val="22"/>
          <w:szCs w:val="22"/>
          <w:u w:val="single"/>
          <w:lang w:val="en-GB"/>
        </w:rPr>
      </w:pPr>
      <w:r w:rsidRPr="00E36957">
        <w:rPr>
          <w:rFonts w:ascii="Calibri" w:hAnsi="Calibri" w:cs="Calibri"/>
          <w:sz w:val="22"/>
          <w:szCs w:val="22"/>
          <w:lang w:val="en-GB"/>
        </w:rPr>
        <w:t xml:space="preserve">Clarke, V. &amp; Braun, V. (2013), ‘Teaching thematic analysis: Overcoming challenges and developing strategies for effective learning’, </w:t>
      </w:r>
      <w:r w:rsidRPr="00E36957">
        <w:rPr>
          <w:rFonts w:ascii="Calibri" w:hAnsi="Calibri" w:cs="Calibri"/>
          <w:i/>
          <w:sz w:val="22"/>
          <w:szCs w:val="22"/>
          <w:lang w:val="en-GB"/>
        </w:rPr>
        <w:t>The Psychologist</w:t>
      </w:r>
      <w:r w:rsidRPr="00E36957">
        <w:rPr>
          <w:rFonts w:ascii="Calibri" w:hAnsi="Calibri" w:cs="Calibri"/>
          <w:sz w:val="22"/>
          <w:szCs w:val="22"/>
          <w:lang w:val="en-GB"/>
        </w:rPr>
        <w:t xml:space="preserve">, Vol. 26 No. 2, p. 120. </w:t>
      </w:r>
    </w:p>
    <w:p w14:paraId="41F46F67" w14:textId="77777777" w:rsidR="002468E0" w:rsidRPr="00E36957" w:rsidRDefault="002468E0" w:rsidP="00E36957">
      <w:pPr>
        <w:pStyle w:val="ListParagraph"/>
        <w:numPr>
          <w:ilvl w:val="0"/>
          <w:numId w:val="2"/>
        </w:numPr>
        <w:shd w:val="clear" w:color="auto" w:fill="FFFFFF"/>
        <w:spacing w:after="160" w:line="259" w:lineRule="auto"/>
        <w:ind w:left="567" w:hanging="283"/>
        <w:jc w:val="both"/>
        <w:rPr>
          <w:rFonts w:ascii="Calibri" w:hAnsi="Calibri" w:cs="Calibri"/>
          <w:b/>
          <w:sz w:val="22"/>
          <w:szCs w:val="22"/>
          <w:u w:val="single"/>
          <w:lang w:val="en-GB"/>
        </w:rPr>
      </w:pPr>
      <w:proofErr w:type="spellStart"/>
      <w:r w:rsidRPr="00E36957">
        <w:rPr>
          <w:rFonts w:ascii="Calibri" w:hAnsi="Calibri" w:cs="Calibri"/>
          <w:sz w:val="22"/>
          <w:szCs w:val="22"/>
        </w:rPr>
        <w:t>Kuznetsov</w:t>
      </w:r>
      <w:proofErr w:type="spellEnd"/>
      <w:r w:rsidRPr="00E36957">
        <w:rPr>
          <w:rFonts w:ascii="Calibri" w:hAnsi="Calibri" w:cs="Calibri"/>
          <w:sz w:val="22"/>
          <w:szCs w:val="22"/>
        </w:rPr>
        <w:t>, A., (2014). Port Sustainability Management System for smaller ports in Cornwall and Devon. PhD thesis. Plymouth University. https://pearl.plymouth.ac.uk/handle/10026.1/3136</w:t>
      </w:r>
    </w:p>
    <w:p w14:paraId="5962AA7E" w14:textId="77777777" w:rsidR="002468E0" w:rsidRPr="00E36957" w:rsidRDefault="002468E0" w:rsidP="00E36957">
      <w:pPr>
        <w:pStyle w:val="ListParagraph"/>
        <w:numPr>
          <w:ilvl w:val="0"/>
          <w:numId w:val="2"/>
        </w:numPr>
        <w:shd w:val="clear" w:color="auto" w:fill="FFFFFF"/>
        <w:spacing w:after="160" w:line="259" w:lineRule="auto"/>
        <w:ind w:left="567" w:hanging="283"/>
        <w:jc w:val="both"/>
        <w:rPr>
          <w:rFonts w:ascii="Calibri" w:hAnsi="Calibri" w:cs="Calibri"/>
          <w:b/>
          <w:sz w:val="22"/>
          <w:szCs w:val="22"/>
          <w:u w:val="single"/>
          <w:lang w:val="en-GB"/>
        </w:rPr>
      </w:pPr>
      <w:r w:rsidRPr="00E36957">
        <w:rPr>
          <w:rFonts w:ascii="Calibri" w:eastAsia="Times New Roman" w:hAnsi="Calibri" w:cs="Calibri"/>
          <w:sz w:val="22"/>
          <w:szCs w:val="22"/>
          <w:shd w:val="clear" w:color="auto" w:fill="FFFFFF"/>
          <w:lang w:val="en-GB"/>
        </w:rPr>
        <w:t>Phc.co.uk. (2018). </w:t>
      </w:r>
      <w:r w:rsidRPr="00E36957">
        <w:rPr>
          <w:rFonts w:ascii="Calibri" w:eastAsia="Times New Roman" w:hAnsi="Calibri" w:cs="Calibri"/>
          <w:iCs/>
          <w:sz w:val="22"/>
          <w:szCs w:val="22"/>
          <w:lang w:val="en-GB"/>
        </w:rPr>
        <w:t>Poole Harbour Commissioners - About Us</w:t>
      </w:r>
      <w:r w:rsidRPr="00E36957">
        <w:rPr>
          <w:rFonts w:ascii="Calibri" w:eastAsia="Times New Roman" w:hAnsi="Calibri" w:cs="Calibri"/>
          <w:sz w:val="22"/>
          <w:szCs w:val="22"/>
          <w:shd w:val="clear" w:color="auto" w:fill="FFFFFF"/>
          <w:lang w:val="en-GB"/>
        </w:rPr>
        <w:t>. [online] Available at: https://phc.co.uk/about.html [Accessed 12 Jun. 2018].</w:t>
      </w:r>
    </w:p>
    <w:p w14:paraId="39338914" w14:textId="77777777" w:rsidR="002468E0" w:rsidRPr="00E36957" w:rsidRDefault="002468E0" w:rsidP="00E36957">
      <w:pPr>
        <w:pStyle w:val="ListParagraph"/>
        <w:widowControl w:val="0"/>
        <w:numPr>
          <w:ilvl w:val="0"/>
          <w:numId w:val="2"/>
        </w:numPr>
        <w:autoSpaceDE w:val="0"/>
        <w:autoSpaceDN w:val="0"/>
        <w:adjustRightInd w:val="0"/>
        <w:spacing w:after="160" w:line="259" w:lineRule="auto"/>
        <w:ind w:left="567" w:hanging="283"/>
        <w:rPr>
          <w:rFonts w:ascii="Calibri" w:hAnsi="Calibri" w:cs="Calibri"/>
          <w:color w:val="000000"/>
          <w:sz w:val="22"/>
          <w:szCs w:val="22"/>
        </w:rPr>
      </w:pPr>
      <w:r w:rsidRPr="00E36957">
        <w:rPr>
          <w:rFonts w:ascii="Calibri" w:eastAsia="ヒラギノ角ゴ Pro W3" w:hAnsi="Calibri" w:cs="Calibri"/>
          <w:sz w:val="22"/>
          <w:szCs w:val="22"/>
        </w:rPr>
        <w:t xml:space="preserve">Ports.Org (2014), Ports and </w:t>
      </w:r>
      <w:proofErr w:type="spellStart"/>
      <w:r w:rsidRPr="00E36957">
        <w:rPr>
          <w:rFonts w:ascii="Calibri" w:eastAsia="ヒラギノ角ゴ Pro W3" w:hAnsi="Calibri" w:cs="Calibri"/>
          <w:sz w:val="22"/>
          <w:szCs w:val="22"/>
        </w:rPr>
        <w:t>Harbours</w:t>
      </w:r>
      <w:proofErr w:type="spellEnd"/>
      <w:r w:rsidRPr="00E36957">
        <w:rPr>
          <w:rFonts w:ascii="Calibri" w:eastAsia="ヒラギノ角ゴ Pro W3" w:hAnsi="Calibri" w:cs="Calibri"/>
          <w:sz w:val="22"/>
          <w:szCs w:val="22"/>
        </w:rPr>
        <w:t xml:space="preserve"> of the UK</w:t>
      </w:r>
      <w:r w:rsidRPr="00E36957">
        <w:rPr>
          <w:rFonts w:ascii="Calibri" w:hAnsi="Calibri" w:cs="Calibri"/>
          <w:color w:val="000000"/>
          <w:sz w:val="22"/>
          <w:szCs w:val="22"/>
        </w:rPr>
        <w:t xml:space="preserve">, Available at: </w:t>
      </w:r>
      <w:r w:rsidRPr="00E36957">
        <w:rPr>
          <w:rFonts w:ascii="Calibri" w:hAnsi="Calibri" w:cs="Calibri"/>
          <w:color w:val="0000FF"/>
          <w:sz w:val="22"/>
          <w:szCs w:val="22"/>
        </w:rPr>
        <w:t xml:space="preserve">http://ports.org.uk/ </w:t>
      </w:r>
    </w:p>
    <w:p w14:paraId="091E8DEC" w14:textId="77777777" w:rsidR="002468E0" w:rsidRPr="00E36957" w:rsidRDefault="002468E0" w:rsidP="00E36957">
      <w:pPr>
        <w:pStyle w:val="ListParagraph"/>
        <w:numPr>
          <w:ilvl w:val="0"/>
          <w:numId w:val="2"/>
        </w:numPr>
        <w:shd w:val="clear" w:color="auto" w:fill="FFFFFF"/>
        <w:spacing w:after="160" w:line="259" w:lineRule="auto"/>
        <w:ind w:left="567" w:hanging="283"/>
        <w:jc w:val="both"/>
        <w:rPr>
          <w:rFonts w:ascii="Calibri" w:hAnsi="Calibri" w:cs="Calibri"/>
          <w:b/>
          <w:sz w:val="22"/>
          <w:szCs w:val="22"/>
          <w:u w:val="single"/>
          <w:lang w:val="en-GB"/>
        </w:rPr>
      </w:pPr>
      <w:proofErr w:type="spellStart"/>
      <w:r w:rsidRPr="00E36957">
        <w:rPr>
          <w:rFonts w:ascii="Calibri" w:hAnsi="Calibri" w:cs="Calibri"/>
          <w:sz w:val="22"/>
          <w:szCs w:val="22"/>
          <w:lang w:val="en-GB"/>
        </w:rPr>
        <w:t>Vaismoradi</w:t>
      </w:r>
      <w:proofErr w:type="spellEnd"/>
      <w:r w:rsidRPr="00E36957">
        <w:rPr>
          <w:rFonts w:ascii="Calibri" w:hAnsi="Calibri" w:cs="Calibri"/>
          <w:sz w:val="22"/>
          <w:szCs w:val="22"/>
          <w:lang w:val="en-GB"/>
        </w:rPr>
        <w:t xml:space="preserve">, M., </w:t>
      </w:r>
      <w:proofErr w:type="spellStart"/>
      <w:r w:rsidRPr="00E36957">
        <w:rPr>
          <w:rFonts w:ascii="Calibri" w:hAnsi="Calibri" w:cs="Calibri"/>
          <w:sz w:val="22"/>
          <w:szCs w:val="22"/>
          <w:lang w:val="en-GB"/>
        </w:rPr>
        <w:t>Turunen</w:t>
      </w:r>
      <w:proofErr w:type="spellEnd"/>
      <w:r w:rsidRPr="00E36957">
        <w:rPr>
          <w:rFonts w:ascii="Calibri" w:hAnsi="Calibri" w:cs="Calibri"/>
          <w:sz w:val="22"/>
          <w:szCs w:val="22"/>
          <w:lang w:val="en-GB"/>
        </w:rPr>
        <w:t xml:space="preserve"> H. &amp; </w:t>
      </w:r>
      <w:proofErr w:type="spellStart"/>
      <w:r w:rsidRPr="00E36957">
        <w:rPr>
          <w:rFonts w:ascii="Calibri" w:hAnsi="Calibri" w:cs="Calibri"/>
          <w:sz w:val="22"/>
          <w:szCs w:val="22"/>
          <w:lang w:val="en-GB"/>
        </w:rPr>
        <w:t>Bondas</w:t>
      </w:r>
      <w:proofErr w:type="spellEnd"/>
      <w:r w:rsidRPr="00E36957">
        <w:rPr>
          <w:rFonts w:ascii="Calibri" w:hAnsi="Calibri" w:cs="Calibri"/>
          <w:sz w:val="22"/>
          <w:szCs w:val="22"/>
          <w:lang w:val="en-GB"/>
        </w:rPr>
        <w:t xml:space="preserve"> T. (2013), ‘Content Analysis and Thematic Analysis: Implications For Conducting a Qualitative Descriptive Study’, </w:t>
      </w:r>
      <w:r w:rsidRPr="00E36957">
        <w:rPr>
          <w:rFonts w:ascii="Calibri" w:hAnsi="Calibri" w:cs="Calibri"/>
          <w:i/>
          <w:iCs/>
          <w:sz w:val="22"/>
          <w:szCs w:val="22"/>
          <w:lang w:val="en-GB"/>
        </w:rPr>
        <w:t>Nursing and Health Science</w:t>
      </w:r>
      <w:r w:rsidRPr="00E36957">
        <w:rPr>
          <w:rFonts w:ascii="Calibri" w:hAnsi="Calibri" w:cs="Calibri"/>
          <w:iCs/>
          <w:sz w:val="22"/>
          <w:szCs w:val="22"/>
          <w:lang w:val="en-GB"/>
        </w:rPr>
        <w:t>s</w:t>
      </w:r>
      <w:r w:rsidRPr="00E36957">
        <w:rPr>
          <w:rFonts w:ascii="Calibri" w:hAnsi="Calibri" w:cs="Calibri"/>
          <w:sz w:val="22"/>
          <w:szCs w:val="22"/>
          <w:lang w:val="en-GB"/>
        </w:rPr>
        <w:t xml:space="preserve"> Vol. 15, p. 399.</w:t>
      </w:r>
    </w:p>
    <w:p w14:paraId="74375F69" w14:textId="77777777" w:rsidR="002468E0" w:rsidRPr="004D48F7" w:rsidRDefault="002468E0" w:rsidP="00EC5AF4">
      <w:pPr>
        <w:spacing w:after="160" w:line="259" w:lineRule="auto"/>
        <w:ind w:left="-360"/>
        <w:jc w:val="both"/>
        <w:rPr>
          <w:rFonts w:ascii="Arial" w:hAnsi="Arial" w:cs="Arial"/>
          <w:i/>
        </w:rPr>
      </w:pPr>
    </w:p>
    <w:p w14:paraId="0B5446B1" w14:textId="77777777" w:rsidR="002468E0" w:rsidRPr="00F87CDF" w:rsidRDefault="002468E0" w:rsidP="00EC5AF4">
      <w:pPr>
        <w:shd w:val="clear" w:color="auto" w:fill="FFFFFF"/>
        <w:spacing w:after="160" w:line="259" w:lineRule="auto"/>
        <w:jc w:val="both"/>
        <w:rPr>
          <w:rFonts w:ascii="Cambria" w:hAnsi="Cambria" w:cs="Arial"/>
          <w:sz w:val="22"/>
          <w:szCs w:val="22"/>
          <w:lang w:val="en-GB"/>
        </w:rPr>
      </w:pPr>
    </w:p>
    <w:p w14:paraId="3B28BE68" w14:textId="77777777" w:rsidR="002468E0" w:rsidRPr="00FD7C53" w:rsidRDefault="002468E0" w:rsidP="00EC5AF4">
      <w:pPr>
        <w:shd w:val="clear" w:color="auto" w:fill="FFFFFF"/>
        <w:spacing w:after="160" w:line="259" w:lineRule="auto"/>
        <w:jc w:val="both"/>
        <w:rPr>
          <w:rFonts w:ascii="Cambria" w:hAnsi="Cambria" w:cs="Arial"/>
          <w:b/>
          <w:sz w:val="22"/>
          <w:szCs w:val="22"/>
          <w:u w:val="single"/>
          <w:lang w:val="en-GB"/>
        </w:rPr>
      </w:pPr>
    </w:p>
    <w:p w14:paraId="251D67E9" w14:textId="77777777" w:rsidR="002468E0" w:rsidRPr="00FD7C53" w:rsidRDefault="002468E0" w:rsidP="00EC5AF4">
      <w:pPr>
        <w:shd w:val="clear" w:color="auto" w:fill="FFFFFF"/>
        <w:spacing w:after="160" w:line="259" w:lineRule="auto"/>
        <w:jc w:val="both"/>
        <w:rPr>
          <w:rFonts w:ascii="Cambria" w:eastAsia="Times New Roman" w:hAnsi="Cambria" w:cs="Arial"/>
          <w:b/>
          <w:color w:val="333333"/>
          <w:sz w:val="22"/>
          <w:szCs w:val="22"/>
          <w:u w:val="single"/>
          <w:lang w:val="en-GB"/>
        </w:rPr>
      </w:pPr>
    </w:p>
    <w:p w14:paraId="74281E19" w14:textId="77777777" w:rsidR="002468E0" w:rsidRPr="00FD7C53" w:rsidRDefault="002468E0" w:rsidP="00EC5AF4">
      <w:pPr>
        <w:spacing w:after="160" w:line="259" w:lineRule="auto"/>
        <w:jc w:val="both"/>
        <w:rPr>
          <w:sz w:val="22"/>
          <w:szCs w:val="22"/>
          <w:lang w:val="en-GB"/>
        </w:rPr>
      </w:pPr>
    </w:p>
    <w:p w14:paraId="421797B9" w14:textId="77777777" w:rsidR="00CF69BB" w:rsidRDefault="00CF69BB" w:rsidP="00EC5AF4">
      <w:pPr>
        <w:spacing w:after="160" w:line="259" w:lineRule="auto"/>
      </w:pPr>
    </w:p>
    <w:sectPr w:rsidR="00CF69BB" w:rsidSect="00E63FFA">
      <w:pgSz w:w="11900" w:h="16840"/>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46E55"/>
    <w:multiLevelType w:val="hybridMultilevel"/>
    <w:tmpl w:val="46AA6C82"/>
    <w:lvl w:ilvl="0" w:tplc="AFD88D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DC6409"/>
    <w:multiLevelType w:val="hybridMultilevel"/>
    <w:tmpl w:val="8F182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8E0"/>
    <w:rsid w:val="001533AB"/>
    <w:rsid w:val="001A10C5"/>
    <w:rsid w:val="002468E0"/>
    <w:rsid w:val="00260AD8"/>
    <w:rsid w:val="00334126"/>
    <w:rsid w:val="003B581B"/>
    <w:rsid w:val="003D30A0"/>
    <w:rsid w:val="003E1581"/>
    <w:rsid w:val="00430A9F"/>
    <w:rsid w:val="00493C8E"/>
    <w:rsid w:val="004E5959"/>
    <w:rsid w:val="005C5F1F"/>
    <w:rsid w:val="005D22F5"/>
    <w:rsid w:val="007E1AD8"/>
    <w:rsid w:val="00827BBD"/>
    <w:rsid w:val="0086426F"/>
    <w:rsid w:val="008F1730"/>
    <w:rsid w:val="0093117A"/>
    <w:rsid w:val="009C4B3E"/>
    <w:rsid w:val="009C7030"/>
    <w:rsid w:val="00AB72C3"/>
    <w:rsid w:val="00AF468A"/>
    <w:rsid w:val="00B22709"/>
    <w:rsid w:val="00B31970"/>
    <w:rsid w:val="00BE2B90"/>
    <w:rsid w:val="00C222D1"/>
    <w:rsid w:val="00C71E7C"/>
    <w:rsid w:val="00CA1FEF"/>
    <w:rsid w:val="00CF369F"/>
    <w:rsid w:val="00CF69BB"/>
    <w:rsid w:val="00E24D7A"/>
    <w:rsid w:val="00E36957"/>
    <w:rsid w:val="00E63FFA"/>
    <w:rsid w:val="00EA300B"/>
    <w:rsid w:val="00EC5AF4"/>
    <w:rsid w:val="00ED5701"/>
    <w:rsid w:val="00F81D8E"/>
    <w:rsid w:val="00FA0A0E"/>
    <w:rsid w:val="00FB7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C1901F"/>
  <w14:defaultImageDpi w14:val="300"/>
  <w15:docId w15:val="{153D6557-0ACC-4978-80A9-6BBFB5B85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8E0"/>
  </w:style>
  <w:style w:type="paragraph" w:styleId="Heading1">
    <w:name w:val="heading 1"/>
    <w:basedOn w:val="Normal"/>
    <w:next w:val="Normal"/>
    <w:link w:val="Heading1Char"/>
    <w:uiPriority w:val="9"/>
    <w:qFormat/>
    <w:rsid w:val="002468E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8E0"/>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2468E0"/>
    <w:pPr>
      <w:ind w:left="720"/>
      <w:contextualSpacing/>
    </w:pPr>
  </w:style>
  <w:style w:type="paragraph" w:styleId="BalloonText">
    <w:name w:val="Balloon Text"/>
    <w:basedOn w:val="Normal"/>
    <w:link w:val="BalloonTextChar"/>
    <w:uiPriority w:val="99"/>
    <w:semiHidden/>
    <w:unhideWhenUsed/>
    <w:rsid w:val="002468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68E0"/>
    <w:rPr>
      <w:rFonts w:ascii="Lucida Grande" w:hAnsi="Lucida Grande" w:cs="Lucida Grande"/>
      <w:sz w:val="18"/>
      <w:szCs w:val="18"/>
    </w:rPr>
  </w:style>
  <w:style w:type="paragraph" w:styleId="Caption">
    <w:name w:val="caption"/>
    <w:basedOn w:val="Normal"/>
    <w:next w:val="Normal"/>
    <w:uiPriority w:val="35"/>
    <w:unhideWhenUsed/>
    <w:qFormat/>
    <w:rsid w:val="005D22F5"/>
    <w:pPr>
      <w:spacing w:after="200"/>
    </w:pPr>
    <w:rPr>
      <w:b/>
      <w:bCs/>
      <w:color w:val="4F81BD" w:themeColor="accent1"/>
      <w:sz w:val="18"/>
      <w:szCs w:val="18"/>
    </w:rPr>
  </w:style>
  <w:style w:type="table" w:styleId="TableGrid">
    <w:name w:val="Table Grid"/>
    <w:basedOn w:val="TableNormal"/>
    <w:uiPriority w:val="59"/>
    <w:rsid w:val="001A1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C3D1C-8890-43CB-8CC2-19FF805BE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2711</Words>
  <Characters>15457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ard</Company>
  <LinksUpToDate>false</LinksUpToDate>
  <CharactersWithSpaces>18132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 Compass</dc:creator>
  <cp:keywords/>
  <dc:description/>
  <cp:lastModifiedBy>Saeyeon Roh</cp:lastModifiedBy>
  <cp:revision>3</cp:revision>
  <dcterms:created xsi:type="dcterms:W3CDTF">2018-07-10T17:01:00Z</dcterms:created>
  <dcterms:modified xsi:type="dcterms:W3CDTF">2018-07-10T17:12:00Z</dcterms:modified>
</cp:coreProperties>
</file>