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22" w:rsidRPr="005C08BC" w:rsidRDefault="00357522" w:rsidP="00357522">
      <w:pPr>
        <w:jc w:val="both"/>
        <w:rPr>
          <w:rFonts w:eastAsia="Gulim"/>
          <w:b/>
          <w:bCs/>
          <w:sz w:val="28"/>
          <w:szCs w:val="28"/>
          <w:lang w:eastAsia="ko-KR"/>
        </w:rPr>
      </w:pPr>
      <w:r w:rsidRPr="005C08BC">
        <w:rPr>
          <w:rFonts w:eastAsia="Gulim"/>
          <w:b/>
          <w:bCs/>
          <w:sz w:val="28"/>
          <w:szCs w:val="28"/>
          <w:lang w:eastAsia="ko-KR"/>
        </w:rPr>
        <w:t>THE ROLE OF APPLIED THEORY TO DELIVER SAFETY, COMPLIANCE, AIR QUALITY AND COMPETITIVE BENEFITS TO THE UK ROAD FREIGHT TRANSPORT SECTOR</w:t>
      </w:r>
    </w:p>
    <w:p w:rsidR="00357522" w:rsidRPr="00357522" w:rsidRDefault="00357522" w:rsidP="00357522">
      <w:pPr>
        <w:jc w:val="both"/>
        <w:rPr>
          <w:rFonts w:eastAsia="Gulim"/>
          <w:b/>
          <w:bCs/>
          <w:lang w:eastAsia="ko-KR"/>
        </w:rPr>
      </w:pPr>
    </w:p>
    <w:p w:rsidR="00357522" w:rsidRPr="00357522" w:rsidRDefault="00357522" w:rsidP="00357522">
      <w:pPr>
        <w:jc w:val="both"/>
        <w:rPr>
          <w:rFonts w:eastAsia="Gulim"/>
          <w:b/>
          <w:bCs/>
          <w:i/>
          <w:vertAlign w:val="superscript"/>
          <w:lang w:eastAsia="ko-KR"/>
        </w:rPr>
      </w:pPr>
      <w:r w:rsidRPr="00357522">
        <w:rPr>
          <w:b/>
          <w:bCs/>
          <w:i/>
          <w:lang w:eastAsia="ko-KR"/>
        </w:rPr>
        <w:t>Erica Ballantyne</w:t>
      </w:r>
      <w:r w:rsidRPr="00357522">
        <w:rPr>
          <w:rFonts w:eastAsia="Gulim"/>
          <w:b/>
          <w:bCs/>
          <w:i/>
          <w:vertAlign w:val="superscript"/>
          <w:lang w:eastAsia="ko-KR"/>
        </w:rPr>
        <w:t>1</w:t>
      </w:r>
      <w:r w:rsidRPr="00357522">
        <w:rPr>
          <w:b/>
          <w:bCs/>
          <w:i/>
        </w:rPr>
        <w:t xml:space="preserve"> and Graeme Heron</w:t>
      </w:r>
      <w:r w:rsidRPr="00357522">
        <w:rPr>
          <w:rFonts w:eastAsia="Gulim"/>
          <w:b/>
          <w:bCs/>
          <w:i/>
          <w:vertAlign w:val="superscript"/>
          <w:lang w:eastAsia="ko-KR"/>
        </w:rPr>
        <w:t>2</w:t>
      </w:r>
    </w:p>
    <w:p w:rsidR="00357522" w:rsidRPr="00357522" w:rsidRDefault="00357522" w:rsidP="00357522">
      <w:pPr>
        <w:jc w:val="both"/>
        <w:rPr>
          <w:i/>
        </w:rPr>
      </w:pPr>
      <w:r w:rsidRPr="00357522">
        <w:rPr>
          <w:i/>
          <w:vertAlign w:val="superscript"/>
          <w:lang w:eastAsia="ko-KR"/>
        </w:rPr>
        <w:t>1</w:t>
      </w:r>
      <w:r w:rsidRPr="00357522">
        <w:rPr>
          <w:i/>
        </w:rPr>
        <w:t>The University of Sheffield, UK</w:t>
      </w:r>
    </w:p>
    <w:p w:rsidR="00357522" w:rsidRPr="00357522" w:rsidRDefault="00357522" w:rsidP="00357522">
      <w:pPr>
        <w:jc w:val="both"/>
        <w:rPr>
          <w:i/>
          <w:lang w:eastAsia="ko-KR"/>
        </w:rPr>
      </w:pPr>
      <w:r w:rsidRPr="00357522">
        <w:rPr>
          <w:i/>
          <w:vertAlign w:val="superscript"/>
          <w:lang w:eastAsia="ko-KR"/>
        </w:rPr>
        <w:t>2</w:t>
      </w:r>
      <w:r w:rsidRPr="00357522">
        <w:rPr>
          <w:i/>
        </w:rPr>
        <w:t>Newcastle University, UK</w:t>
      </w:r>
    </w:p>
    <w:p w:rsidR="00357522" w:rsidRDefault="00357522" w:rsidP="00357522">
      <w:pPr>
        <w:pStyle w:val="Heading1"/>
        <w:spacing w:line="240" w:lineRule="auto"/>
        <w:ind w:left="0"/>
        <w:jc w:val="left"/>
        <w:rPr>
          <w:sz w:val="22"/>
          <w:szCs w:val="22"/>
        </w:rPr>
      </w:pPr>
    </w:p>
    <w:p w:rsidR="00F36AD3" w:rsidRPr="00357522" w:rsidRDefault="00357522" w:rsidP="00357522">
      <w:pPr>
        <w:pStyle w:val="Heading1"/>
        <w:spacing w:line="240" w:lineRule="auto"/>
        <w:ind w:left="0"/>
        <w:jc w:val="left"/>
        <w:rPr>
          <w:sz w:val="22"/>
          <w:szCs w:val="22"/>
          <w:u w:val="single"/>
        </w:rPr>
      </w:pPr>
      <w:r w:rsidRPr="00357522">
        <w:rPr>
          <w:sz w:val="22"/>
          <w:szCs w:val="22"/>
          <w:u w:val="single"/>
        </w:rPr>
        <w:t>INTRODUCTION</w:t>
      </w:r>
    </w:p>
    <w:p w:rsidR="00F36AD3" w:rsidRPr="00357522" w:rsidRDefault="00357522" w:rsidP="00357522">
      <w:pPr>
        <w:pStyle w:val="BodyText"/>
        <w:ind w:left="0"/>
        <w:jc w:val="both"/>
      </w:pPr>
      <w:r w:rsidRPr="00357522">
        <w:t>Operator</w:t>
      </w:r>
      <w:r w:rsidRPr="00357522">
        <w:rPr>
          <w:spacing w:val="-4"/>
        </w:rPr>
        <w:t xml:space="preserve"> </w:t>
      </w:r>
      <w:r w:rsidRPr="00357522">
        <w:t>recognition</w:t>
      </w:r>
      <w:r w:rsidRPr="00357522">
        <w:rPr>
          <w:spacing w:val="-5"/>
        </w:rPr>
        <w:t xml:space="preserve"> </w:t>
      </w:r>
      <w:r w:rsidRPr="00357522">
        <w:t>and</w:t>
      </w:r>
      <w:r w:rsidRPr="00357522">
        <w:rPr>
          <w:spacing w:val="-5"/>
        </w:rPr>
        <w:t xml:space="preserve"> </w:t>
      </w:r>
      <w:r w:rsidRPr="00357522">
        <w:t>compliance</w:t>
      </w:r>
      <w:r w:rsidRPr="00357522">
        <w:rPr>
          <w:spacing w:val="-4"/>
        </w:rPr>
        <w:t xml:space="preserve"> </w:t>
      </w:r>
      <w:r w:rsidRPr="00357522">
        <w:t>schemes</w:t>
      </w:r>
      <w:r w:rsidRPr="00357522">
        <w:rPr>
          <w:spacing w:val="-4"/>
        </w:rPr>
        <w:t xml:space="preserve"> </w:t>
      </w:r>
      <w:r w:rsidRPr="00357522">
        <w:t>are</w:t>
      </w:r>
      <w:r w:rsidRPr="00357522">
        <w:rPr>
          <w:spacing w:val="-4"/>
        </w:rPr>
        <w:t xml:space="preserve"> </w:t>
      </w:r>
      <w:r w:rsidRPr="00357522">
        <w:t>not</w:t>
      </w:r>
      <w:r w:rsidRPr="00357522">
        <w:rPr>
          <w:spacing w:val="-6"/>
        </w:rPr>
        <w:t xml:space="preserve"> </w:t>
      </w:r>
      <w:r w:rsidRPr="00357522">
        <w:t>a</w:t>
      </w:r>
      <w:r w:rsidRPr="00357522">
        <w:rPr>
          <w:spacing w:val="-4"/>
        </w:rPr>
        <w:t xml:space="preserve"> </w:t>
      </w:r>
      <w:r w:rsidRPr="00357522">
        <w:t>new</w:t>
      </w:r>
      <w:r w:rsidRPr="00357522">
        <w:rPr>
          <w:spacing w:val="-4"/>
        </w:rPr>
        <w:t xml:space="preserve"> </w:t>
      </w:r>
      <w:r w:rsidRPr="00357522">
        <w:t>phenomenon,</w:t>
      </w:r>
      <w:r w:rsidRPr="00357522">
        <w:rPr>
          <w:spacing w:val="-4"/>
        </w:rPr>
        <w:t xml:space="preserve"> </w:t>
      </w:r>
      <w:r w:rsidRPr="00357522">
        <w:t>with</w:t>
      </w:r>
      <w:r w:rsidRPr="00357522">
        <w:rPr>
          <w:spacing w:val="-7"/>
        </w:rPr>
        <w:t xml:space="preserve"> </w:t>
      </w:r>
      <w:r w:rsidRPr="00357522">
        <w:t>many</w:t>
      </w:r>
      <w:r w:rsidRPr="00357522">
        <w:rPr>
          <w:spacing w:val="-4"/>
        </w:rPr>
        <w:t xml:space="preserve"> </w:t>
      </w:r>
      <w:r w:rsidRPr="00357522">
        <w:t>such</w:t>
      </w:r>
      <w:r w:rsidRPr="00357522">
        <w:rPr>
          <w:spacing w:val="-5"/>
        </w:rPr>
        <w:t xml:space="preserve"> </w:t>
      </w:r>
      <w:r w:rsidRPr="00357522">
        <w:t>schemes being established during the last decade; each existing scheme is organised slightly differently, principle drivers behind their creation has usually been one or a combination of the following objectives:</w:t>
      </w:r>
      <w:r w:rsidRPr="00357522">
        <w:rPr>
          <w:spacing w:val="-13"/>
        </w:rPr>
        <w:t xml:space="preserve"> </w:t>
      </w:r>
      <w:r w:rsidRPr="00357522">
        <w:t>to</w:t>
      </w:r>
      <w:r w:rsidRPr="00357522">
        <w:rPr>
          <w:spacing w:val="-10"/>
        </w:rPr>
        <w:t xml:space="preserve"> </w:t>
      </w:r>
      <w:r w:rsidRPr="00357522">
        <w:t>address</w:t>
      </w:r>
      <w:r w:rsidRPr="00357522">
        <w:rPr>
          <w:spacing w:val="-11"/>
        </w:rPr>
        <w:t xml:space="preserve"> </w:t>
      </w:r>
      <w:r w:rsidRPr="00357522">
        <w:t>political</w:t>
      </w:r>
      <w:r w:rsidRPr="00357522">
        <w:rPr>
          <w:spacing w:val="-12"/>
        </w:rPr>
        <w:t xml:space="preserve"> </w:t>
      </w:r>
      <w:r w:rsidRPr="00357522">
        <w:t>targets</w:t>
      </w:r>
      <w:r w:rsidRPr="00357522">
        <w:rPr>
          <w:spacing w:val="-13"/>
        </w:rPr>
        <w:t xml:space="preserve"> </w:t>
      </w:r>
      <w:r w:rsidRPr="00357522">
        <w:t>around</w:t>
      </w:r>
      <w:r w:rsidRPr="00357522">
        <w:rPr>
          <w:spacing w:val="-12"/>
        </w:rPr>
        <w:t xml:space="preserve"> </w:t>
      </w:r>
      <w:r w:rsidRPr="00357522">
        <w:t>air</w:t>
      </w:r>
      <w:r w:rsidRPr="00357522">
        <w:rPr>
          <w:spacing w:val="-15"/>
        </w:rPr>
        <w:t xml:space="preserve"> </w:t>
      </w:r>
      <w:r w:rsidRPr="00357522">
        <w:t>qua</w:t>
      </w:r>
      <w:r w:rsidRPr="00357522">
        <w:t>lity</w:t>
      </w:r>
      <w:r w:rsidRPr="00357522">
        <w:rPr>
          <w:spacing w:val="-11"/>
        </w:rPr>
        <w:t xml:space="preserve"> </w:t>
      </w:r>
      <w:r w:rsidRPr="00357522">
        <w:t>and</w:t>
      </w:r>
      <w:r w:rsidRPr="00357522">
        <w:rPr>
          <w:spacing w:val="-12"/>
        </w:rPr>
        <w:t xml:space="preserve"> </w:t>
      </w:r>
      <w:r w:rsidRPr="00357522">
        <w:t>sustainability;</w:t>
      </w:r>
      <w:r w:rsidRPr="00357522">
        <w:rPr>
          <w:spacing w:val="-13"/>
        </w:rPr>
        <w:t xml:space="preserve"> </w:t>
      </w:r>
      <w:r w:rsidRPr="00357522">
        <w:t>to</w:t>
      </w:r>
      <w:r w:rsidRPr="00357522">
        <w:rPr>
          <w:spacing w:val="-12"/>
        </w:rPr>
        <w:t xml:space="preserve"> </w:t>
      </w:r>
      <w:r w:rsidRPr="00357522">
        <w:t>improve</w:t>
      </w:r>
      <w:r w:rsidRPr="00357522">
        <w:rPr>
          <w:spacing w:val="-11"/>
        </w:rPr>
        <w:t xml:space="preserve"> </w:t>
      </w:r>
      <w:r w:rsidRPr="00357522">
        <w:t>the</w:t>
      </w:r>
      <w:r w:rsidRPr="00357522">
        <w:rPr>
          <w:spacing w:val="-13"/>
        </w:rPr>
        <w:t xml:space="preserve"> </w:t>
      </w:r>
      <w:r w:rsidRPr="00357522">
        <w:t>operational efficiency and performance of commercial vehicle fleets; to improve road safety and, to adhere to industry best practice standards. The focus of this paper is on two established schemes in the</w:t>
      </w:r>
      <w:r w:rsidRPr="00357522">
        <w:rPr>
          <w:spacing w:val="-25"/>
        </w:rPr>
        <w:t xml:space="preserve"> </w:t>
      </w:r>
      <w:r w:rsidRPr="00357522">
        <w:t>UK.</w:t>
      </w:r>
    </w:p>
    <w:p w:rsidR="00F36AD3" w:rsidRPr="00357522" w:rsidRDefault="00F36AD3" w:rsidP="00357522">
      <w:pPr>
        <w:pStyle w:val="BodyText"/>
        <w:ind w:left="0"/>
      </w:pPr>
    </w:p>
    <w:p w:rsidR="00F36AD3" w:rsidRPr="00357522" w:rsidRDefault="00357522" w:rsidP="00357522">
      <w:pPr>
        <w:pStyle w:val="BodyText"/>
        <w:ind w:left="0"/>
        <w:jc w:val="both"/>
      </w:pPr>
      <w:r w:rsidRPr="00357522">
        <w:t>As eco</w:t>
      </w:r>
      <w:r w:rsidRPr="00357522">
        <w:t>nomies have evolved and supply chains advanced on a global scale our reliance on road transportation has increased. These demands on the freight transport sector in particular can lead to various degrees of operational inefficiencies that operator recognit</w:t>
      </w:r>
      <w:r w:rsidRPr="00357522">
        <w:t xml:space="preserve">ion schemes seek to improve. However, the benefits of scheme membership are potentially far more reaching than simply short term operational improvements, as inherent in their design, is the possibility to act as interventions to help policymakers achieve </w:t>
      </w:r>
      <w:r w:rsidRPr="00357522">
        <w:t>longer term impacts around sustainability and air quality targets. In the UK context there exist a number of membership accreditation schemes targeted at vehicle fleet operators</w:t>
      </w:r>
      <w:r w:rsidRPr="00357522">
        <w:rPr>
          <w:spacing w:val="-8"/>
        </w:rPr>
        <w:t xml:space="preserve"> </w:t>
      </w:r>
      <w:r w:rsidRPr="00357522">
        <w:t>including:</w:t>
      </w:r>
      <w:r w:rsidRPr="00357522">
        <w:rPr>
          <w:spacing w:val="-9"/>
        </w:rPr>
        <w:t xml:space="preserve"> </w:t>
      </w:r>
      <w:r w:rsidRPr="00357522">
        <w:t>ECOSTARS;</w:t>
      </w:r>
      <w:r w:rsidRPr="00357522">
        <w:rPr>
          <w:spacing w:val="-7"/>
        </w:rPr>
        <w:t xml:space="preserve"> </w:t>
      </w:r>
      <w:r w:rsidRPr="00357522">
        <w:t>Fleet</w:t>
      </w:r>
      <w:r w:rsidRPr="00357522">
        <w:rPr>
          <w:spacing w:val="-7"/>
        </w:rPr>
        <w:t xml:space="preserve"> </w:t>
      </w:r>
      <w:r w:rsidRPr="00357522">
        <w:t>Operator</w:t>
      </w:r>
      <w:r w:rsidRPr="00357522">
        <w:rPr>
          <w:spacing w:val="-10"/>
        </w:rPr>
        <w:t xml:space="preserve"> </w:t>
      </w:r>
      <w:r w:rsidRPr="00357522">
        <w:t>Recognition</w:t>
      </w:r>
      <w:r w:rsidRPr="00357522">
        <w:rPr>
          <w:spacing w:val="-8"/>
        </w:rPr>
        <w:t xml:space="preserve"> </w:t>
      </w:r>
      <w:r w:rsidRPr="00357522">
        <w:t>Scheme</w:t>
      </w:r>
      <w:r w:rsidRPr="00357522">
        <w:rPr>
          <w:spacing w:val="-9"/>
        </w:rPr>
        <w:t xml:space="preserve"> </w:t>
      </w:r>
      <w:r w:rsidRPr="00357522">
        <w:t>(FORS);</w:t>
      </w:r>
      <w:r w:rsidRPr="00357522">
        <w:rPr>
          <w:spacing w:val="-7"/>
        </w:rPr>
        <w:t xml:space="preserve"> </w:t>
      </w:r>
      <w:r w:rsidRPr="00357522">
        <w:t>Van</w:t>
      </w:r>
      <w:r w:rsidRPr="00357522">
        <w:rPr>
          <w:spacing w:val="-11"/>
        </w:rPr>
        <w:t xml:space="preserve"> </w:t>
      </w:r>
      <w:r w:rsidRPr="00357522">
        <w:t>and</w:t>
      </w:r>
      <w:r w:rsidRPr="00357522">
        <w:rPr>
          <w:spacing w:val="-8"/>
        </w:rPr>
        <w:t xml:space="preserve"> </w:t>
      </w:r>
      <w:r w:rsidRPr="00357522">
        <w:t>Truck</w:t>
      </w:r>
      <w:r w:rsidRPr="00357522">
        <w:rPr>
          <w:spacing w:val="-8"/>
        </w:rPr>
        <w:t xml:space="preserve"> </w:t>
      </w:r>
      <w:r w:rsidRPr="00357522">
        <w:t>E</w:t>
      </w:r>
      <w:r w:rsidRPr="00357522">
        <w:t>xcellence schemes. Whilst these schemes initially developed as being purely for the freight sector, the larger schemes (ECOSTARS and FORS) have since widened their participation to be more inclusive of fleet operators more generally, such as the bus and co</w:t>
      </w:r>
      <w:r w:rsidRPr="00357522">
        <w:t>ach sectors, and licensed taxi firms. Interest in such schemes and their potential benefits is not wholly confined to the UK; there are ECOSTARS schemes operating</w:t>
      </w:r>
      <w:r w:rsidRPr="00357522">
        <w:rPr>
          <w:spacing w:val="-8"/>
        </w:rPr>
        <w:t xml:space="preserve"> </w:t>
      </w:r>
      <w:r w:rsidRPr="00357522">
        <w:t>in</w:t>
      </w:r>
      <w:r w:rsidRPr="00357522">
        <w:rPr>
          <w:spacing w:val="-8"/>
        </w:rPr>
        <w:t xml:space="preserve"> </w:t>
      </w:r>
      <w:r w:rsidRPr="00357522">
        <w:t>various</w:t>
      </w:r>
      <w:r w:rsidRPr="00357522">
        <w:rPr>
          <w:spacing w:val="-7"/>
        </w:rPr>
        <w:t xml:space="preserve"> </w:t>
      </w:r>
      <w:r w:rsidRPr="00357522">
        <w:t>European</w:t>
      </w:r>
      <w:r w:rsidRPr="00357522">
        <w:rPr>
          <w:spacing w:val="-5"/>
        </w:rPr>
        <w:t xml:space="preserve"> </w:t>
      </w:r>
      <w:r w:rsidRPr="00357522">
        <w:t>locations.</w:t>
      </w:r>
      <w:r w:rsidRPr="00357522">
        <w:rPr>
          <w:spacing w:val="-7"/>
        </w:rPr>
        <w:t xml:space="preserve"> </w:t>
      </w:r>
      <w:r w:rsidRPr="00357522">
        <w:t>The</w:t>
      </w:r>
      <w:r w:rsidRPr="00357522">
        <w:rPr>
          <w:spacing w:val="-7"/>
        </w:rPr>
        <w:t xml:space="preserve"> </w:t>
      </w:r>
      <w:r w:rsidRPr="00357522">
        <w:t>EU’s</w:t>
      </w:r>
      <w:r w:rsidRPr="00357522">
        <w:rPr>
          <w:spacing w:val="-9"/>
        </w:rPr>
        <w:t xml:space="preserve"> </w:t>
      </w:r>
      <w:r w:rsidRPr="00357522">
        <w:t>Transport</w:t>
      </w:r>
      <w:r w:rsidRPr="00357522">
        <w:rPr>
          <w:spacing w:val="-6"/>
        </w:rPr>
        <w:t xml:space="preserve"> </w:t>
      </w:r>
      <w:r w:rsidRPr="00357522">
        <w:t>Commission’s</w:t>
      </w:r>
      <w:r w:rsidRPr="00357522">
        <w:rPr>
          <w:spacing w:val="-7"/>
        </w:rPr>
        <w:t xml:space="preserve"> </w:t>
      </w:r>
      <w:r w:rsidRPr="00357522">
        <w:t>role</w:t>
      </w:r>
      <w:r w:rsidRPr="00357522">
        <w:rPr>
          <w:spacing w:val="-4"/>
        </w:rPr>
        <w:t xml:space="preserve"> </w:t>
      </w:r>
      <w:r w:rsidRPr="00357522">
        <w:t>is</w:t>
      </w:r>
      <w:r w:rsidRPr="00357522">
        <w:rPr>
          <w:spacing w:val="-7"/>
        </w:rPr>
        <w:t xml:space="preserve"> </w:t>
      </w:r>
      <w:r w:rsidRPr="00357522">
        <w:t>to</w:t>
      </w:r>
      <w:r w:rsidRPr="00357522">
        <w:rPr>
          <w:spacing w:val="-3"/>
        </w:rPr>
        <w:t xml:space="preserve"> </w:t>
      </w:r>
      <w:r w:rsidRPr="00357522">
        <w:t>promote</w:t>
      </w:r>
      <w:r w:rsidRPr="00357522">
        <w:rPr>
          <w:spacing w:val="-8"/>
        </w:rPr>
        <w:t xml:space="preserve"> </w:t>
      </w:r>
      <w:r w:rsidRPr="00357522">
        <w:t>mobility that is efficient, safe, secure and environmentally friendly (EU Transport Commission, 2011). ECOSTARS and FORS have their genesis in initiatives such as the Operator Compliance Risk Scores programme (DVSA, 2006), the Sustainable Urban Movement Pl</w:t>
      </w:r>
      <w:r w:rsidRPr="00357522">
        <w:t>an, the Sustainable Urban Goods Logistics Achieved by Regional &amp; Local polices (SUGAR) (</w:t>
      </w:r>
      <w:proofErr w:type="spellStart"/>
      <w:r w:rsidRPr="00357522">
        <w:t>Interreg</w:t>
      </w:r>
      <w:proofErr w:type="spellEnd"/>
      <w:r w:rsidRPr="00357522">
        <w:t>, 2013), as well as the Reward and Recognition Scheme (RECODRIVE) and the Auditing &amp; Certification Scheme</w:t>
      </w:r>
      <w:r w:rsidRPr="00357522">
        <w:rPr>
          <w:spacing w:val="-16"/>
        </w:rPr>
        <w:t xml:space="preserve"> </w:t>
      </w:r>
      <w:r w:rsidRPr="00357522">
        <w:t>(ADVANCE).</w:t>
      </w:r>
    </w:p>
    <w:p w:rsidR="00F36AD3" w:rsidRPr="00357522" w:rsidRDefault="00F36AD3" w:rsidP="00357522">
      <w:pPr>
        <w:pStyle w:val="BodyText"/>
        <w:ind w:left="0"/>
      </w:pPr>
    </w:p>
    <w:p w:rsidR="00F36AD3" w:rsidRPr="00357522" w:rsidRDefault="00357522" w:rsidP="00357522">
      <w:pPr>
        <w:pStyle w:val="BodyText"/>
        <w:ind w:left="0"/>
        <w:jc w:val="both"/>
      </w:pPr>
      <w:r w:rsidRPr="00357522">
        <w:t xml:space="preserve">Air quality and sustainability are key drivers behind the establishment of industry recognition and compliance schemes, with road freight transport being directly responsible for Particulate Matter </w:t>
      </w:r>
      <w:r w:rsidRPr="00357522">
        <w:rPr>
          <w:position w:val="2"/>
        </w:rPr>
        <w:t>(PM),</w:t>
      </w:r>
      <w:r w:rsidRPr="00357522">
        <w:rPr>
          <w:spacing w:val="-9"/>
          <w:position w:val="2"/>
        </w:rPr>
        <w:t xml:space="preserve"> </w:t>
      </w:r>
      <w:r w:rsidRPr="00357522">
        <w:rPr>
          <w:position w:val="2"/>
        </w:rPr>
        <w:t>nitrogen</w:t>
      </w:r>
      <w:r w:rsidRPr="00357522">
        <w:rPr>
          <w:spacing w:val="-12"/>
          <w:position w:val="2"/>
        </w:rPr>
        <w:t xml:space="preserve"> </w:t>
      </w:r>
      <w:r w:rsidRPr="00357522">
        <w:rPr>
          <w:position w:val="2"/>
        </w:rPr>
        <w:t>dioxide</w:t>
      </w:r>
      <w:r w:rsidRPr="00357522">
        <w:rPr>
          <w:spacing w:val="-8"/>
          <w:position w:val="2"/>
        </w:rPr>
        <w:t xml:space="preserve"> </w:t>
      </w:r>
      <w:r w:rsidRPr="00357522">
        <w:rPr>
          <w:position w:val="2"/>
        </w:rPr>
        <w:t>(NO</w:t>
      </w:r>
      <w:r w:rsidRPr="00357522">
        <w:rPr>
          <w:position w:val="2"/>
          <w:vertAlign w:val="subscript"/>
        </w:rPr>
        <w:t>2</w:t>
      </w:r>
      <w:r w:rsidRPr="00357522">
        <w:rPr>
          <w:position w:val="2"/>
        </w:rPr>
        <w:t>),</w:t>
      </w:r>
      <w:r w:rsidRPr="00357522">
        <w:rPr>
          <w:spacing w:val="-9"/>
          <w:position w:val="2"/>
        </w:rPr>
        <w:t xml:space="preserve"> </w:t>
      </w:r>
      <w:r w:rsidRPr="00357522">
        <w:rPr>
          <w:position w:val="2"/>
        </w:rPr>
        <w:t>and</w:t>
      </w:r>
      <w:r w:rsidRPr="00357522">
        <w:rPr>
          <w:spacing w:val="-10"/>
          <w:position w:val="2"/>
        </w:rPr>
        <w:t xml:space="preserve"> </w:t>
      </w:r>
      <w:r w:rsidRPr="00357522">
        <w:rPr>
          <w:position w:val="2"/>
        </w:rPr>
        <w:t>carbon</w:t>
      </w:r>
      <w:r w:rsidRPr="00357522">
        <w:rPr>
          <w:spacing w:val="-10"/>
          <w:position w:val="2"/>
        </w:rPr>
        <w:t xml:space="preserve"> </w:t>
      </w:r>
      <w:r w:rsidRPr="00357522">
        <w:rPr>
          <w:position w:val="2"/>
        </w:rPr>
        <w:t>dioxide</w:t>
      </w:r>
      <w:r w:rsidRPr="00357522">
        <w:rPr>
          <w:spacing w:val="-11"/>
          <w:position w:val="2"/>
        </w:rPr>
        <w:t xml:space="preserve"> </w:t>
      </w:r>
      <w:r w:rsidRPr="00357522">
        <w:rPr>
          <w:position w:val="2"/>
        </w:rPr>
        <w:t>(CO</w:t>
      </w:r>
      <w:r w:rsidRPr="00357522">
        <w:rPr>
          <w:position w:val="2"/>
          <w:vertAlign w:val="subscript"/>
        </w:rPr>
        <w:t>2</w:t>
      </w:r>
      <w:r w:rsidRPr="00357522">
        <w:rPr>
          <w:position w:val="2"/>
        </w:rPr>
        <w:t>)</w:t>
      </w:r>
      <w:r w:rsidRPr="00357522">
        <w:rPr>
          <w:spacing w:val="-14"/>
          <w:position w:val="2"/>
        </w:rPr>
        <w:t xml:space="preserve"> </w:t>
      </w:r>
      <w:r w:rsidRPr="00357522">
        <w:rPr>
          <w:position w:val="2"/>
        </w:rPr>
        <w:t>emi</w:t>
      </w:r>
      <w:r w:rsidRPr="00357522">
        <w:rPr>
          <w:position w:val="2"/>
        </w:rPr>
        <w:t>ssions</w:t>
      </w:r>
      <w:r w:rsidRPr="00357522">
        <w:rPr>
          <w:spacing w:val="-11"/>
          <w:position w:val="2"/>
        </w:rPr>
        <w:t xml:space="preserve"> </w:t>
      </w:r>
      <w:r w:rsidRPr="00357522">
        <w:rPr>
          <w:position w:val="2"/>
        </w:rPr>
        <w:t>leading</w:t>
      </w:r>
      <w:r w:rsidRPr="00357522">
        <w:rPr>
          <w:spacing w:val="-10"/>
          <w:position w:val="2"/>
        </w:rPr>
        <w:t xml:space="preserve"> </w:t>
      </w:r>
      <w:r w:rsidRPr="00357522">
        <w:rPr>
          <w:position w:val="2"/>
        </w:rPr>
        <w:t>to</w:t>
      </w:r>
      <w:r w:rsidRPr="00357522">
        <w:rPr>
          <w:spacing w:val="-8"/>
          <w:position w:val="2"/>
        </w:rPr>
        <w:t xml:space="preserve"> </w:t>
      </w:r>
      <w:r w:rsidRPr="00357522">
        <w:rPr>
          <w:position w:val="2"/>
        </w:rPr>
        <w:t>poor</w:t>
      </w:r>
      <w:r w:rsidRPr="00357522">
        <w:rPr>
          <w:spacing w:val="-9"/>
          <w:position w:val="2"/>
        </w:rPr>
        <w:t xml:space="preserve"> </w:t>
      </w:r>
      <w:r w:rsidRPr="00357522">
        <w:rPr>
          <w:position w:val="2"/>
        </w:rPr>
        <w:t>air</w:t>
      </w:r>
      <w:r w:rsidRPr="00357522">
        <w:rPr>
          <w:spacing w:val="-9"/>
          <w:position w:val="2"/>
        </w:rPr>
        <w:t xml:space="preserve"> </w:t>
      </w:r>
      <w:r w:rsidRPr="00357522">
        <w:rPr>
          <w:position w:val="2"/>
        </w:rPr>
        <w:t>quality,</w:t>
      </w:r>
      <w:r w:rsidRPr="00357522">
        <w:rPr>
          <w:spacing w:val="-11"/>
          <w:position w:val="2"/>
        </w:rPr>
        <w:t xml:space="preserve"> </w:t>
      </w:r>
      <w:r w:rsidRPr="00357522">
        <w:rPr>
          <w:position w:val="2"/>
        </w:rPr>
        <w:t xml:space="preserve">especially </w:t>
      </w:r>
      <w:r w:rsidRPr="00357522">
        <w:t>in urban environments (</w:t>
      </w:r>
      <w:proofErr w:type="spellStart"/>
      <w:r w:rsidRPr="00357522">
        <w:t>Dablanc</w:t>
      </w:r>
      <w:proofErr w:type="spellEnd"/>
      <w:r w:rsidRPr="00357522">
        <w:t>, 2008). With the development of concerns over urban sustainability and air quality, particularly in Western Europe, freight transport has faced increasing criticism. The introduc</w:t>
      </w:r>
      <w:r w:rsidRPr="00357522">
        <w:t>tion of some EU legislation (e.g. EU Council Directive 96/62) have imposed specific responsibilities on transport policy makers to implement the necessary measures to ensure compliance with EU limits (</w:t>
      </w:r>
      <w:proofErr w:type="spellStart"/>
      <w:r w:rsidRPr="00357522">
        <w:t>Dablanc</w:t>
      </w:r>
      <w:proofErr w:type="spellEnd"/>
      <w:r w:rsidRPr="00357522">
        <w:t>, 2008). Such legislation has prompted the estab</w:t>
      </w:r>
      <w:r w:rsidRPr="00357522">
        <w:t>lishment of Low Emission</w:t>
      </w:r>
      <w:r w:rsidRPr="00357522">
        <w:rPr>
          <w:spacing w:val="10"/>
        </w:rPr>
        <w:t xml:space="preserve"> </w:t>
      </w:r>
      <w:r w:rsidRPr="00357522">
        <w:t>Zones</w:t>
      </w:r>
      <w:r w:rsidRPr="00357522">
        <w:rPr>
          <w:spacing w:val="12"/>
        </w:rPr>
        <w:t xml:space="preserve"> </w:t>
      </w:r>
      <w:r w:rsidRPr="00357522">
        <w:t>(LEZs)</w:t>
      </w:r>
      <w:r w:rsidRPr="00357522">
        <w:rPr>
          <w:spacing w:val="12"/>
        </w:rPr>
        <w:t xml:space="preserve"> </w:t>
      </w:r>
      <w:r w:rsidRPr="00357522">
        <w:t>in</w:t>
      </w:r>
      <w:r w:rsidRPr="00357522">
        <w:rPr>
          <w:spacing w:val="8"/>
        </w:rPr>
        <w:t xml:space="preserve"> </w:t>
      </w:r>
      <w:r w:rsidRPr="00357522">
        <w:t>major</w:t>
      </w:r>
      <w:r w:rsidRPr="00357522">
        <w:rPr>
          <w:spacing w:val="11"/>
        </w:rPr>
        <w:t xml:space="preserve"> </w:t>
      </w:r>
      <w:r w:rsidRPr="00357522">
        <w:t>cities</w:t>
      </w:r>
      <w:r w:rsidRPr="00357522">
        <w:rPr>
          <w:spacing w:val="12"/>
        </w:rPr>
        <w:t xml:space="preserve"> </w:t>
      </w:r>
      <w:r w:rsidRPr="00357522">
        <w:t>and</w:t>
      </w:r>
      <w:r w:rsidRPr="00357522">
        <w:rPr>
          <w:spacing w:val="10"/>
        </w:rPr>
        <w:t xml:space="preserve"> </w:t>
      </w:r>
      <w:r w:rsidRPr="00357522">
        <w:t>urban</w:t>
      </w:r>
      <w:r w:rsidRPr="00357522">
        <w:rPr>
          <w:spacing w:val="10"/>
        </w:rPr>
        <w:t xml:space="preserve"> </w:t>
      </w:r>
      <w:r w:rsidRPr="00357522">
        <w:t>conurbations</w:t>
      </w:r>
      <w:r w:rsidRPr="00357522">
        <w:rPr>
          <w:spacing w:val="11"/>
        </w:rPr>
        <w:t xml:space="preserve"> </w:t>
      </w:r>
      <w:r w:rsidRPr="00357522">
        <w:t>to</w:t>
      </w:r>
      <w:r w:rsidRPr="00357522">
        <w:rPr>
          <w:spacing w:val="12"/>
        </w:rPr>
        <w:t xml:space="preserve"> </w:t>
      </w:r>
      <w:r w:rsidRPr="00357522">
        <w:t>restrict</w:t>
      </w:r>
      <w:r w:rsidRPr="00357522">
        <w:rPr>
          <w:spacing w:val="12"/>
        </w:rPr>
        <w:t xml:space="preserve"> </w:t>
      </w:r>
      <w:r w:rsidRPr="00357522">
        <w:t>the</w:t>
      </w:r>
      <w:r w:rsidRPr="00357522">
        <w:rPr>
          <w:spacing w:val="10"/>
        </w:rPr>
        <w:t xml:space="preserve"> </w:t>
      </w:r>
      <w:r w:rsidRPr="00357522">
        <w:t>most</w:t>
      </w:r>
      <w:r w:rsidRPr="00357522">
        <w:rPr>
          <w:spacing w:val="12"/>
        </w:rPr>
        <w:t xml:space="preserve"> </w:t>
      </w:r>
      <w:r w:rsidRPr="00357522">
        <w:t>polluting</w:t>
      </w:r>
      <w:r w:rsidRPr="00357522">
        <w:rPr>
          <w:spacing w:val="8"/>
        </w:rPr>
        <w:t xml:space="preserve"> </w:t>
      </w:r>
      <w:r w:rsidRPr="00357522">
        <w:t>vehicles</w:t>
      </w:r>
      <w:r>
        <w:t xml:space="preserve"> </w:t>
      </w:r>
      <w:r w:rsidRPr="00357522">
        <w:t xml:space="preserve">(freight vehicles are the primary target for LEZ policies) by setting standards according to vehicle age and type (Cruz and </w:t>
      </w:r>
      <w:proofErr w:type="spellStart"/>
      <w:r w:rsidRPr="00357522">
        <w:t>Montenon</w:t>
      </w:r>
      <w:proofErr w:type="spellEnd"/>
      <w:r w:rsidRPr="00357522">
        <w:t>, 2016). The UK government has recently set the goal of achieving</w:t>
      </w:r>
      <w:r>
        <w:t xml:space="preserve"> </w:t>
      </w:r>
      <w:r w:rsidRPr="00357522">
        <w:rPr>
          <w:position w:val="2"/>
        </w:rPr>
        <w:t>&gt;40μg/m</w:t>
      </w:r>
      <w:r w:rsidRPr="00357522">
        <w:rPr>
          <w:position w:val="2"/>
          <w:vertAlign w:val="superscript"/>
        </w:rPr>
        <w:t>3</w:t>
      </w:r>
      <w:r w:rsidRPr="00357522">
        <w:rPr>
          <w:position w:val="2"/>
        </w:rPr>
        <w:t xml:space="preserve"> annual mean NO</w:t>
      </w:r>
      <w:r w:rsidRPr="00357522">
        <w:rPr>
          <w:position w:val="2"/>
          <w:vertAlign w:val="subscript"/>
        </w:rPr>
        <w:t>2</w:t>
      </w:r>
      <w:r w:rsidRPr="00357522">
        <w:rPr>
          <w:position w:val="2"/>
        </w:rPr>
        <w:t xml:space="preserve"> in its 43 UK air quality reportin</w:t>
      </w:r>
      <w:r w:rsidRPr="00357522">
        <w:rPr>
          <w:position w:val="2"/>
        </w:rPr>
        <w:t xml:space="preserve">g zones by 2021, to address findings from </w:t>
      </w:r>
      <w:r w:rsidRPr="00357522">
        <w:t>2015, which revealed that 37 of the 43 pre-established air quality management zones still exceeded the upper thresholds measure of 40μg/m</w:t>
      </w:r>
      <w:r w:rsidRPr="00357522">
        <w:rPr>
          <w:vertAlign w:val="superscript"/>
        </w:rPr>
        <w:t>3</w:t>
      </w:r>
      <w:r w:rsidRPr="00357522">
        <w:t xml:space="preserve"> annual mean NO2 limit (DEFRA, 2017).</w:t>
      </w:r>
    </w:p>
    <w:p w:rsidR="00F36AD3" w:rsidRPr="00357522" w:rsidRDefault="00F36AD3" w:rsidP="00357522">
      <w:pPr>
        <w:pStyle w:val="BodyText"/>
        <w:ind w:left="0"/>
      </w:pPr>
    </w:p>
    <w:p w:rsidR="00F36AD3" w:rsidRPr="00357522" w:rsidRDefault="00357522" w:rsidP="00357522">
      <w:pPr>
        <w:pStyle w:val="Heading1"/>
        <w:spacing w:line="240" w:lineRule="auto"/>
        <w:ind w:left="0"/>
        <w:rPr>
          <w:sz w:val="22"/>
          <w:szCs w:val="22"/>
          <w:u w:val="single"/>
        </w:rPr>
      </w:pPr>
      <w:r w:rsidRPr="00357522">
        <w:rPr>
          <w:sz w:val="22"/>
          <w:szCs w:val="22"/>
          <w:u w:val="single"/>
        </w:rPr>
        <w:t>LITERATURE REVIEW</w:t>
      </w:r>
    </w:p>
    <w:p w:rsidR="00F36AD3" w:rsidRPr="00357522" w:rsidRDefault="00357522" w:rsidP="00357522">
      <w:pPr>
        <w:pStyle w:val="BodyText"/>
        <w:ind w:left="0"/>
        <w:jc w:val="both"/>
      </w:pPr>
      <w:r w:rsidRPr="00357522">
        <w:t>We posit that antec</w:t>
      </w:r>
      <w:r w:rsidRPr="00357522">
        <w:t>edent service operations management theory forms the basis of operator recognition schemes, but this has been implicit rather than explicit, thereby stifling the development of</w:t>
      </w:r>
      <w:r w:rsidRPr="00357522">
        <w:rPr>
          <w:spacing w:val="-11"/>
        </w:rPr>
        <w:t xml:space="preserve"> </w:t>
      </w:r>
      <w:r w:rsidRPr="00357522">
        <w:t>the</w:t>
      </w:r>
      <w:r w:rsidRPr="00357522">
        <w:rPr>
          <w:spacing w:val="-10"/>
        </w:rPr>
        <w:t xml:space="preserve"> </w:t>
      </w:r>
      <w:r w:rsidRPr="00357522">
        <w:t>concept</w:t>
      </w:r>
      <w:r w:rsidRPr="00357522">
        <w:rPr>
          <w:spacing w:val="-10"/>
        </w:rPr>
        <w:t xml:space="preserve"> </w:t>
      </w:r>
      <w:r w:rsidRPr="00357522">
        <w:lastRenderedPageBreak/>
        <w:t>of</w:t>
      </w:r>
      <w:r w:rsidRPr="00357522">
        <w:rPr>
          <w:spacing w:val="-13"/>
        </w:rPr>
        <w:t xml:space="preserve"> </w:t>
      </w:r>
      <w:r w:rsidRPr="00357522">
        <w:t>Transport</w:t>
      </w:r>
      <w:r w:rsidRPr="00357522">
        <w:rPr>
          <w:spacing w:val="-12"/>
        </w:rPr>
        <w:t xml:space="preserve"> </w:t>
      </w:r>
      <w:r w:rsidRPr="00357522">
        <w:t>Total</w:t>
      </w:r>
      <w:r w:rsidRPr="00357522">
        <w:rPr>
          <w:spacing w:val="-13"/>
        </w:rPr>
        <w:t xml:space="preserve"> </w:t>
      </w:r>
      <w:r w:rsidRPr="00357522">
        <w:t>Quality</w:t>
      </w:r>
      <w:r w:rsidRPr="00357522">
        <w:rPr>
          <w:spacing w:val="-12"/>
        </w:rPr>
        <w:t xml:space="preserve"> </w:t>
      </w:r>
      <w:r w:rsidRPr="00357522">
        <w:t>Management,</w:t>
      </w:r>
      <w:r w:rsidRPr="00357522">
        <w:rPr>
          <w:spacing w:val="-10"/>
        </w:rPr>
        <w:t xml:space="preserve"> </w:t>
      </w:r>
      <w:r w:rsidRPr="00357522">
        <w:t>further</w:t>
      </w:r>
      <w:r w:rsidRPr="00357522">
        <w:rPr>
          <w:spacing w:val="-11"/>
        </w:rPr>
        <w:t xml:space="preserve"> </w:t>
      </w:r>
      <w:r w:rsidRPr="00357522">
        <w:t>evidenced</w:t>
      </w:r>
      <w:r w:rsidRPr="00357522">
        <w:rPr>
          <w:spacing w:val="-11"/>
        </w:rPr>
        <w:t xml:space="preserve"> </w:t>
      </w:r>
      <w:r w:rsidRPr="00357522">
        <w:t>by</w:t>
      </w:r>
      <w:r w:rsidRPr="00357522">
        <w:rPr>
          <w:spacing w:val="-12"/>
        </w:rPr>
        <w:t xml:space="preserve"> </w:t>
      </w:r>
      <w:r w:rsidRPr="00357522">
        <w:t>our</w:t>
      </w:r>
      <w:r w:rsidRPr="00357522">
        <w:rPr>
          <w:spacing w:val="-13"/>
        </w:rPr>
        <w:t xml:space="preserve"> </w:t>
      </w:r>
      <w:r w:rsidRPr="00357522">
        <w:t>own</w:t>
      </w:r>
      <w:r w:rsidRPr="00357522">
        <w:rPr>
          <w:spacing w:val="-11"/>
        </w:rPr>
        <w:t xml:space="preserve"> </w:t>
      </w:r>
      <w:r w:rsidRPr="00357522">
        <w:t>search</w:t>
      </w:r>
      <w:r w:rsidRPr="00357522">
        <w:rPr>
          <w:spacing w:val="-13"/>
        </w:rPr>
        <w:t xml:space="preserve"> </w:t>
      </w:r>
      <w:r w:rsidRPr="00357522">
        <w:t>of</w:t>
      </w:r>
      <w:r w:rsidRPr="00357522">
        <w:rPr>
          <w:spacing w:val="-11"/>
        </w:rPr>
        <w:t xml:space="preserve"> </w:t>
      </w:r>
      <w:r w:rsidRPr="00357522">
        <w:t>extant literature across several academic databases. TQM research in a transport context remains both under-developed and elusive, limited to TQM application in public transport systems (</w:t>
      </w:r>
      <w:proofErr w:type="spellStart"/>
      <w:r w:rsidRPr="00357522">
        <w:t>Andrle</w:t>
      </w:r>
      <w:proofErr w:type="spellEnd"/>
      <w:r w:rsidRPr="00357522">
        <w:t>, 1994; Tam and Hui, 1996), service level agreements</w:t>
      </w:r>
      <w:r w:rsidRPr="00357522">
        <w:t xml:space="preserve"> (Parish, 1997) and transport sector employee job satisfaction (Morrow et al., 2011). Grant (2012) records a possible reason for this situation in that a ‘non-unionist’ perspective prevails in the freight transport sector as operators being ‘for hire’ eith</w:t>
      </w:r>
      <w:r w:rsidRPr="00357522">
        <w:t xml:space="preserve">er within an organisation or as an external supplier. Another aspect working against historical adoption of TQM is relative scale; an important factor given the profile of the freight industry in which the majority of operators are classed as Micro, Small </w:t>
      </w:r>
      <w:r w:rsidRPr="00357522">
        <w:t>or Medium sized enterprises (MSMEs). These MSME’s</w:t>
      </w:r>
      <w:r w:rsidRPr="00357522">
        <w:rPr>
          <w:spacing w:val="-7"/>
        </w:rPr>
        <w:t xml:space="preserve"> </w:t>
      </w:r>
      <w:r w:rsidRPr="00357522">
        <w:t>are</w:t>
      </w:r>
      <w:r w:rsidRPr="00357522">
        <w:rPr>
          <w:spacing w:val="-9"/>
        </w:rPr>
        <w:t xml:space="preserve"> </w:t>
      </w:r>
      <w:r w:rsidRPr="00357522">
        <w:t>structurally</w:t>
      </w:r>
      <w:r w:rsidRPr="00357522">
        <w:rPr>
          <w:spacing w:val="-7"/>
        </w:rPr>
        <w:t xml:space="preserve"> </w:t>
      </w:r>
      <w:r w:rsidRPr="00357522">
        <w:t>different</w:t>
      </w:r>
      <w:r w:rsidRPr="00357522">
        <w:rPr>
          <w:spacing w:val="-8"/>
        </w:rPr>
        <w:t xml:space="preserve"> </w:t>
      </w:r>
      <w:r w:rsidRPr="00357522">
        <w:t>from</w:t>
      </w:r>
      <w:r w:rsidRPr="00357522">
        <w:rPr>
          <w:spacing w:val="-7"/>
        </w:rPr>
        <w:t xml:space="preserve"> </w:t>
      </w:r>
      <w:r w:rsidRPr="00357522">
        <w:t>large</w:t>
      </w:r>
      <w:r w:rsidRPr="00357522">
        <w:rPr>
          <w:spacing w:val="-9"/>
        </w:rPr>
        <w:t xml:space="preserve"> </w:t>
      </w:r>
      <w:r w:rsidRPr="00357522">
        <w:t>organisations;</w:t>
      </w:r>
      <w:r w:rsidRPr="00357522">
        <w:rPr>
          <w:spacing w:val="-9"/>
        </w:rPr>
        <w:t xml:space="preserve"> </w:t>
      </w:r>
      <w:r w:rsidRPr="00357522">
        <w:t>they</w:t>
      </w:r>
      <w:r w:rsidRPr="00357522">
        <w:rPr>
          <w:spacing w:val="-9"/>
        </w:rPr>
        <w:t xml:space="preserve"> </w:t>
      </w:r>
      <w:r w:rsidRPr="00357522">
        <w:t>are</w:t>
      </w:r>
      <w:r w:rsidRPr="00357522">
        <w:rPr>
          <w:spacing w:val="-9"/>
        </w:rPr>
        <w:t xml:space="preserve"> </w:t>
      </w:r>
      <w:r w:rsidRPr="00357522">
        <w:t>disadvantaged</w:t>
      </w:r>
      <w:r w:rsidRPr="00357522">
        <w:rPr>
          <w:spacing w:val="-8"/>
        </w:rPr>
        <w:t xml:space="preserve"> </w:t>
      </w:r>
      <w:r w:rsidRPr="00357522">
        <w:t>through</w:t>
      </w:r>
      <w:r w:rsidRPr="00357522">
        <w:rPr>
          <w:spacing w:val="-8"/>
        </w:rPr>
        <w:t xml:space="preserve"> </w:t>
      </w:r>
      <w:r w:rsidRPr="00357522">
        <w:t>restricted horizontal and vertical integration in the ability to ‘scale down’ quality management systems (</w:t>
      </w:r>
      <w:proofErr w:type="spellStart"/>
      <w:r w:rsidRPr="00357522">
        <w:t>Ahire</w:t>
      </w:r>
      <w:proofErr w:type="spellEnd"/>
      <w:r w:rsidRPr="00357522">
        <w:t xml:space="preserve"> and </w:t>
      </w:r>
      <w:proofErr w:type="spellStart"/>
      <w:r w:rsidRPr="00357522">
        <w:t>Golhar</w:t>
      </w:r>
      <w:proofErr w:type="spellEnd"/>
      <w:r w:rsidRPr="00357522">
        <w:t>, 1996; McAdam, 2000). The wider concept of quality management is centred upon the proactive</w:t>
      </w:r>
      <w:r w:rsidRPr="00357522">
        <w:rPr>
          <w:spacing w:val="-16"/>
        </w:rPr>
        <w:t xml:space="preserve"> </w:t>
      </w:r>
      <w:r w:rsidRPr="00357522">
        <w:t>management</w:t>
      </w:r>
      <w:r w:rsidRPr="00357522">
        <w:rPr>
          <w:spacing w:val="-13"/>
        </w:rPr>
        <w:t xml:space="preserve"> </w:t>
      </w:r>
      <w:r w:rsidRPr="00357522">
        <w:t>and</w:t>
      </w:r>
      <w:r w:rsidRPr="00357522">
        <w:rPr>
          <w:spacing w:val="-17"/>
        </w:rPr>
        <w:t xml:space="preserve"> </w:t>
      </w:r>
      <w:r w:rsidRPr="00357522">
        <w:t>control</w:t>
      </w:r>
      <w:r w:rsidRPr="00357522">
        <w:rPr>
          <w:spacing w:val="-16"/>
        </w:rPr>
        <w:t xml:space="preserve"> </w:t>
      </w:r>
      <w:r w:rsidRPr="00357522">
        <w:t>of</w:t>
      </w:r>
      <w:r w:rsidRPr="00357522">
        <w:rPr>
          <w:spacing w:val="-17"/>
        </w:rPr>
        <w:t xml:space="preserve"> </w:t>
      </w:r>
      <w:r w:rsidRPr="00357522">
        <w:t>dynamic</w:t>
      </w:r>
      <w:r w:rsidRPr="00357522">
        <w:rPr>
          <w:spacing w:val="-16"/>
        </w:rPr>
        <w:t xml:space="preserve"> </w:t>
      </w:r>
      <w:r w:rsidRPr="00357522">
        <w:t>multipl</w:t>
      </w:r>
      <w:r w:rsidRPr="00357522">
        <w:t>e</w:t>
      </w:r>
      <w:r w:rsidRPr="00357522">
        <w:rPr>
          <w:spacing w:val="-13"/>
        </w:rPr>
        <w:t xml:space="preserve"> </w:t>
      </w:r>
      <w:r w:rsidRPr="00357522">
        <w:t>variables</w:t>
      </w:r>
      <w:r w:rsidRPr="00357522">
        <w:rPr>
          <w:spacing w:val="-14"/>
        </w:rPr>
        <w:t xml:space="preserve"> </w:t>
      </w:r>
      <w:r w:rsidRPr="00357522">
        <w:t>(Sousa</w:t>
      </w:r>
      <w:r w:rsidRPr="00357522">
        <w:rPr>
          <w:spacing w:val="-16"/>
        </w:rPr>
        <w:t xml:space="preserve"> </w:t>
      </w:r>
      <w:r w:rsidRPr="00357522">
        <w:t>and</w:t>
      </w:r>
      <w:r w:rsidRPr="00357522">
        <w:rPr>
          <w:spacing w:val="-15"/>
        </w:rPr>
        <w:t xml:space="preserve"> </w:t>
      </w:r>
      <w:r w:rsidRPr="00357522">
        <w:t>Voss,</w:t>
      </w:r>
      <w:r w:rsidRPr="00357522">
        <w:rPr>
          <w:spacing w:val="-16"/>
        </w:rPr>
        <w:t xml:space="preserve"> </w:t>
      </w:r>
      <w:r w:rsidRPr="00357522">
        <w:t>2002),</w:t>
      </w:r>
      <w:r w:rsidRPr="00357522">
        <w:rPr>
          <w:spacing w:val="-16"/>
        </w:rPr>
        <w:t xml:space="preserve"> </w:t>
      </w:r>
      <w:r w:rsidRPr="00357522">
        <w:t>this</w:t>
      </w:r>
      <w:r w:rsidRPr="00357522">
        <w:rPr>
          <w:spacing w:val="-14"/>
        </w:rPr>
        <w:t xml:space="preserve"> </w:t>
      </w:r>
      <w:r w:rsidRPr="00357522">
        <w:t>suggests that Transport TQM can be a business process improvement framework, offering much potential value to the freight and transport sector where continuous improvement cycles can offer more comprehensive quality</w:t>
      </w:r>
      <w:r w:rsidRPr="00357522">
        <w:t xml:space="preserve"> management regulation through driving innovation rather than</w:t>
      </w:r>
      <w:r w:rsidRPr="00357522">
        <w:rPr>
          <w:spacing w:val="-15"/>
        </w:rPr>
        <w:t xml:space="preserve"> </w:t>
      </w:r>
      <w:r w:rsidRPr="00357522">
        <w:t>imitation.</w:t>
      </w:r>
    </w:p>
    <w:p w:rsidR="00F36AD3" w:rsidRPr="00357522" w:rsidRDefault="00F36AD3" w:rsidP="00357522">
      <w:pPr>
        <w:pStyle w:val="BodyText"/>
        <w:ind w:left="0"/>
      </w:pPr>
    </w:p>
    <w:p w:rsidR="00F36AD3" w:rsidRPr="00357522" w:rsidRDefault="00357522" w:rsidP="00357522">
      <w:pPr>
        <w:pStyle w:val="BodyText"/>
        <w:ind w:left="0"/>
        <w:jc w:val="both"/>
      </w:pPr>
      <w:proofErr w:type="spellStart"/>
      <w:r w:rsidRPr="00357522">
        <w:t>Ebrahimi</w:t>
      </w:r>
      <w:proofErr w:type="spellEnd"/>
      <w:r w:rsidRPr="00357522">
        <w:t xml:space="preserve"> and </w:t>
      </w:r>
      <w:proofErr w:type="spellStart"/>
      <w:r w:rsidRPr="00357522">
        <w:t>Sadeghi’s</w:t>
      </w:r>
      <w:proofErr w:type="spellEnd"/>
      <w:r w:rsidRPr="00357522">
        <w:t xml:space="preserve"> (2013) argue that TQM represents an integrated management philosophy, whereby quality is mandatory in meeting customer expectations through retaining customer focus (Sousa and Voss, 2002; </w:t>
      </w:r>
      <w:proofErr w:type="spellStart"/>
      <w:r w:rsidRPr="00357522">
        <w:t>Kaynak</w:t>
      </w:r>
      <w:proofErr w:type="spellEnd"/>
      <w:r w:rsidRPr="00357522">
        <w:t>, 2003; Asif et al., 2013; Coimbra, 201</w:t>
      </w:r>
      <w:r w:rsidRPr="00357522">
        <w:t>3; Oakland, 2014). Meanwhile, Kumar</w:t>
      </w:r>
      <w:r w:rsidRPr="00357522">
        <w:rPr>
          <w:spacing w:val="-11"/>
        </w:rPr>
        <w:t xml:space="preserve"> </w:t>
      </w:r>
      <w:r w:rsidRPr="00357522">
        <w:rPr>
          <w:i/>
        </w:rPr>
        <w:t>et</w:t>
      </w:r>
      <w:r w:rsidRPr="00357522">
        <w:rPr>
          <w:i/>
          <w:spacing w:val="-7"/>
        </w:rPr>
        <w:t xml:space="preserve"> </w:t>
      </w:r>
      <w:r w:rsidRPr="00357522">
        <w:rPr>
          <w:i/>
        </w:rPr>
        <w:t>al</w:t>
      </w:r>
      <w:r w:rsidRPr="00357522">
        <w:t>.</w:t>
      </w:r>
      <w:r w:rsidRPr="00357522">
        <w:rPr>
          <w:spacing w:val="-9"/>
        </w:rPr>
        <w:t xml:space="preserve"> </w:t>
      </w:r>
      <w:r w:rsidRPr="00357522">
        <w:t>(2009)</w:t>
      </w:r>
      <w:r w:rsidRPr="00357522">
        <w:rPr>
          <w:spacing w:val="-10"/>
        </w:rPr>
        <w:t xml:space="preserve"> </w:t>
      </w:r>
      <w:r w:rsidRPr="00357522">
        <w:t>record</w:t>
      </w:r>
      <w:r w:rsidRPr="00357522">
        <w:rPr>
          <w:spacing w:val="-9"/>
        </w:rPr>
        <w:t xml:space="preserve"> </w:t>
      </w:r>
      <w:r w:rsidRPr="00357522">
        <w:t>that</w:t>
      </w:r>
      <w:r w:rsidRPr="00357522">
        <w:rPr>
          <w:spacing w:val="-8"/>
        </w:rPr>
        <w:t xml:space="preserve"> </w:t>
      </w:r>
      <w:r w:rsidRPr="00357522">
        <w:t>the</w:t>
      </w:r>
      <w:r w:rsidRPr="00357522">
        <w:rPr>
          <w:spacing w:val="-10"/>
        </w:rPr>
        <w:t xml:space="preserve"> </w:t>
      </w:r>
      <w:r w:rsidRPr="00357522">
        <w:t>multidimensional</w:t>
      </w:r>
      <w:r w:rsidRPr="00357522">
        <w:rPr>
          <w:spacing w:val="-9"/>
        </w:rPr>
        <w:t xml:space="preserve"> </w:t>
      </w:r>
      <w:r w:rsidRPr="00357522">
        <w:t>aspects</w:t>
      </w:r>
      <w:r w:rsidRPr="00357522">
        <w:rPr>
          <w:spacing w:val="-10"/>
        </w:rPr>
        <w:t xml:space="preserve"> </w:t>
      </w:r>
      <w:r w:rsidRPr="00357522">
        <w:t>of</w:t>
      </w:r>
      <w:r w:rsidRPr="00357522">
        <w:rPr>
          <w:spacing w:val="-6"/>
        </w:rPr>
        <w:t xml:space="preserve"> </w:t>
      </w:r>
      <w:r w:rsidRPr="00357522">
        <w:t>TQM</w:t>
      </w:r>
      <w:r w:rsidRPr="00357522">
        <w:rPr>
          <w:spacing w:val="-9"/>
        </w:rPr>
        <w:t xml:space="preserve"> </w:t>
      </w:r>
      <w:r w:rsidRPr="00357522">
        <w:t>indicating</w:t>
      </w:r>
      <w:r w:rsidRPr="00357522">
        <w:rPr>
          <w:spacing w:val="-9"/>
        </w:rPr>
        <w:t xml:space="preserve"> </w:t>
      </w:r>
      <w:r w:rsidRPr="00357522">
        <w:t>its</w:t>
      </w:r>
      <w:r w:rsidRPr="00357522">
        <w:rPr>
          <w:spacing w:val="-10"/>
        </w:rPr>
        <w:t xml:space="preserve"> </w:t>
      </w:r>
      <w:r w:rsidRPr="00357522">
        <w:t>ability</w:t>
      </w:r>
      <w:r w:rsidRPr="00357522">
        <w:rPr>
          <w:spacing w:val="-7"/>
        </w:rPr>
        <w:t xml:space="preserve"> </w:t>
      </w:r>
      <w:r w:rsidRPr="00357522">
        <w:t>to</w:t>
      </w:r>
      <w:r w:rsidRPr="00357522">
        <w:rPr>
          <w:spacing w:val="-7"/>
        </w:rPr>
        <w:t xml:space="preserve"> </w:t>
      </w:r>
      <w:r w:rsidRPr="00357522">
        <w:t>be</w:t>
      </w:r>
      <w:r w:rsidRPr="00357522">
        <w:rPr>
          <w:spacing w:val="-10"/>
        </w:rPr>
        <w:t xml:space="preserve"> </w:t>
      </w:r>
      <w:r w:rsidRPr="00357522">
        <w:t xml:space="preserve">‘cherry picked’ for application by small businesses, also previously identified in the research of Parish (1997). This concept of a customised performance management approach is further developed by </w:t>
      </w:r>
      <w:proofErr w:type="spellStart"/>
      <w:r w:rsidRPr="00357522">
        <w:t>Ates</w:t>
      </w:r>
      <w:proofErr w:type="spellEnd"/>
      <w:r w:rsidRPr="00357522">
        <w:t xml:space="preserve"> </w:t>
      </w:r>
      <w:r w:rsidRPr="00357522">
        <w:rPr>
          <w:i/>
        </w:rPr>
        <w:t xml:space="preserve">et al </w:t>
      </w:r>
      <w:r w:rsidRPr="00357522">
        <w:t>(2013)</w:t>
      </w:r>
      <w:r w:rsidRPr="00357522">
        <w:rPr>
          <w:spacing w:val="-7"/>
        </w:rPr>
        <w:t xml:space="preserve"> </w:t>
      </w:r>
      <w:r w:rsidRPr="00357522">
        <w:t>as</w:t>
      </w:r>
      <w:r w:rsidRPr="00357522">
        <w:rPr>
          <w:spacing w:val="-10"/>
        </w:rPr>
        <w:t xml:space="preserve"> </w:t>
      </w:r>
      <w:r w:rsidRPr="00357522">
        <w:t>an</w:t>
      </w:r>
      <w:r w:rsidRPr="00357522">
        <w:rPr>
          <w:spacing w:val="-8"/>
        </w:rPr>
        <w:t xml:space="preserve"> </w:t>
      </w:r>
      <w:r w:rsidRPr="00357522">
        <w:t>iterative</w:t>
      </w:r>
      <w:r w:rsidRPr="00357522">
        <w:rPr>
          <w:spacing w:val="-9"/>
        </w:rPr>
        <w:t xml:space="preserve"> </w:t>
      </w:r>
      <w:r w:rsidRPr="00357522">
        <w:t>closed-loop</w:t>
      </w:r>
      <w:r w:rsidRPr="00357522">
        <w:rPr>
          <w:spacing w:val="-8"/>
        </w:rPr>
        <w:t xml:space="preserve"> </w:t>
      </w:r>
      <w:r w:rsidRPr="00357522">
        <w:t>process.</w:t>
      </w:r>
      <w:r w:rsidRPr="00357522">
        <w:rPr>
          <w:spacing w:val="37"/>
        </w:rPr>
        <w:t xml:space="preserve"> </w:t>
      </w:r>
      <w:r w:rsidRPr="00357522">
        <w:t>Th</w:t>
      </w:r>
      <w:r w:rsidRPr="00357522">
        <w:t>erefore,</w:t>
      </w:r>
      <w:r w:rsidRPr="00357522">
        <w:rPr>
          <w:spacing w:val="-10"/>
        </w:rPr>
        <w:t xml:space="preserve"> </w:t>
      </w:r>
      <w:r w:rsidRPr="00357522">
        <w:t>TQM</w:t>
      </w:r>
      <w:r w:rsidRPr="00357522">
        <w:rPr>
          <w:spacing w:val="-9"/>
        </w:rPr>
        <w:t xml:space="preserve"> </w:t>
      </w:r>
      <w:r w:rsidRPr="00357522">
        <w:t>can</w:t>
      </w:r>
      <w:r w:rsidRPr="00357522">
        <w:rPr>
          <w:spacing w:val="-8"/>
        </w:rPr>
        <w:t xml:space="preserve"> </w:t>
      </w:r>
      <w:r w:rsidRPr="00357522">
        <w:t>be</w:t>
      </w:r>
      <w:r w:rsidRPr="00357522">
        <w:rPr>
          <w:spacing w:val="-9"/>
        </w:rPr>
        <w:t xml:space="preserve"> </w:t>
      </w:r>
      <w:r w:rsidRPr="00357522">
        <w:t>viewed</w:t>
      </w:r>
      <w:r w:rsidRPr="00357522">
        <w:rPr>
          <w:spacing w:val="-8"/>
        </w:rPr>
        <w:t xml:space="preserve"> </w:t>
      </w:r>
      <w:r w:rsidRPr="00357522">
        <w:t>from</w:t>
      </w:r>
      <w:r w:rsidRPr="00357522">
        <w:rPr>
          <w:spacing w:val="-6"/>
        </w:rPr>
        <w:t xml:space="preserve"> </w:t>
      </w:r>
      <w:r w:rsidRPr="00357522">
        <w:t>differing</w:t>
      </w:r>
      <w:r w:rsidRPr="00357522">
        <w:rPr>
          <w:spacing w:val="-8"/>
        </w:rPr>
        <w:t xml:space="preserve"> </w:t>
      </w:r>
      <w:r w:rsidRPr="00357522">
        <w:t>perspectives in relation to corporate culture (</w:t>
      </w:r>
      <w:proofErr w:type="spellStart"/>
      <w:r w:rsidRPr="00357522">
        <w:t>Dahlgaard</w:t>
      </w:r>
      <w:proofErr w:type="spellEnd"/>
      <w:r w:rsidRPr="00357522">
        <w:t>, et al., 1998), cycles of continuous improvement (</w:t>
      </w:r>
      <w:proofErr w:type="spellStart"/>
      <w:r w:rsidRPr="00357522">
        <w:t>Hellsten</w:t>
      </w:r>
      <w:proofErr w:type="spellEnd"/>
      <w:r w:rsidRPr="00357522">
        <w:t xml:space="preserve"> and </w:t>
      </w:r>
      <w:proofErr w:type="spellStart"/>
      <w:r w:rsidRPr="00357522">
        <w:t>Klefsjo</w:t>
      </w:r>
      <w:proofErr w:type="spellEnd"/>
      <w:r w:rsidRPr="00357522">
        <w:t>, 2000), and as an overarching paradigm (</w:t>
      </w:r>
      <w:proofErr w:type="spellStart"/>
      <w:r w:rsidRPr="00357522">
        <w:t>Besterfield</w:t>
      </w:r>
      <w:proofErr w:type="spellEnd"/>
      <w:r w:rsidRPr="00357522">
        <w:t xml:space="preserve"> et al., 2008), to ultimately impro</w:t>
      </w:r>
      <w:r w:rsidRPr="00357522">
        <w:t>ve continuously to satisfy customer demands (</w:t>
      </w:r>
      <w:proofErr w:type="spellStart"/>
      <w:r w:rsidRPr="00357522">
        <w:t>Deepika</w:t>
      </w:r>
      <w:proofErr w:type="spellEnd"/>
      <w:r w:rsidRPr="00357522">
        <w:t>, et al., 2016). This culture of continuous improvement in relation to the value of customers requires a rolling programme of development for colleagues</w:t>
      </w:r>
      <w:r w:rsidRPr="00357522">
        <w:rPr>
          <w:spacing w:val="-5"/>
        </w:rPr>
        <w:t xml:space="preserve"> </w:t>
      </w:r>
      <w:r w:rsidRPr="00357522">
        <w:t>(Al-</w:t>
      </w:r>
      <w:proofErr w:type="spellStart"/>
      <w:r w:rsidRPr="00357522">
        <w:t>Bourini</w:t>
      </w:r>
      <w:proofErr w:type="spellEnd"/>
      <w:r w:rsidRPr="00357522">
        <w:t>,</w:t>
      </w:r>
      <w:r w:rsidRPr="00357522">
        <w:rPr>
          <w:spacing w:val="-6"/>
        </w:rPr>
        <w:t xml:space="preserve"> </w:t>
      </w:r>
      <w:r w:rsidRPr="00357522">
        <w:t>et</w:t>
      </w:r>
      <w:r w:rsidRPr="00357522">
        <w:rPr>
          <w:spacing w:val="-5"/>
        </w:rPr>
        <w:t xml:space="preserve"> </w:t>
      </w:r>
      <w:r w:rsidRPr="00357522">
        <w:t>al.,</w:t>
      </w:r>
      <w:r w:rsidRPr="00357522">
        <w:rPr>
          <w:spacing w:val="-6"/>
        </w:rPr>
        <w:t xml:space="preserve"> </w:t>
      </w:r>
      <w:r w:rsidRPr="00357522">
        <w:t>2013),</w:t>
      </w:r>
      <w:r w:rsidRPr="00357522">
        <w:rPr>
          <w:spacing w:val="-5"/>
        </w:rPr>
        <w:t xml:space="preserve"> </w:t>
      </w:r>
      <w:r w:rsidRPr="00357522">
        <w:t>indicating</w:t>
      </w:r>
      <w:r w:rsidRPr="00357522">
        <w:rPr>
          <w:spacing w:val="-6"/>
        </w:rPr>
        <w:t xml:space="preserve"> </w:t>
      </w:r>
      <w:r w:rsidRPr="00357522">
        <w:t>that</w:t>
      </w:r>
      <w:r w:rsidRPr="00357522">
        <w:rPr>
          <w:spacing w:val="-8"/>
        </w:rPr>
        <w:t xml:space="preserve"> </w:t>
      </w:r>
      <w:r w:rsidRPr="00357522">
        <w:t>service</w:t>
      </w:r>
      <w:r w:rsidRPr="00357522">
        <w:rPr>
          <w:spacing w:val="-7"/>
        </w:rPr>
        <w:t xml:space="preserve"> </w:t>
      </w:r>
      <w:r w:rsidRPr="00357522">
        <w:t>quality</w:t>
      </w:r>
      <w:r w:rsidRPr="00357522">
        <w:rPr>
          <w:spacing w:val="-6"/>
        </w:rPr>
        <w:t xml:space="preserve"> </w:t>
      </w:r>
      <w:r w:rsidRPr="00357522">
        <w:t>satisfies</w:t>
      </w:r>
      <w:r w:rsidRPr="00357522">
        <w:rPr>
          <w:spacing w:val="-4"/>
        </w:rPr>
        <w:t xml:space="preserve"> </w:t>
      </w:r>
      <w:r w:rsidRPr="00357522">
        <w:t>demands</w:t>
      </w:r>
      <w:r w:rsidRPr="00357522">
        <w:rPr>
          <w:spacing w:val="-5"/>
        </w:rPr>
        <w:t xml:space="preserve"> </w:t>
      </w:r>
      <w:r w:rsidRPr="00357522">
        <w:t>and</w:t>
      </w:r>
      <w:r w:rsidRPr="00357522">
        <w:rPr>
          <w:spacing w:val="-6"/>
        </w:rPr>
        <w:t xml:space="preserve"> </w:t>
      </w:r>
      <w:r w:rsidRPr="00357522">
        <w:t xml:space="preserve">expectations for both internal and external customers. The transport sector as a service provider has definable service measures related to time, destination, quality of shipment upon receipt and driver / vehicle performance </w:t>
      </w:r>
      <w:r w:rsidRPr="00357522">
        <w:t xml:space="preserve">regarded as a totality of features by Islam and </w:t>
      </w:r>
      <w:proofErr w:type="spellStart"/>
      <w:r w:rsidRPr="00357522">
        <w:t>Zunder</w:t>
      </w:r>
      <w:proofErr w:type="spellEnd"/>
      <w:r w:rsidRPr="00357522">
        <w:t xml:space="preserve"> (2014). TQM remains a paradigm of objective intentions to improve customer service (</w:t>
      </w:r>
      <w:proofErr w:type="spellStart"/>
      <w:r w:rsidRPr="00357522">
        <w:t>Karuppusami</w:t>
      </w:r>
      <w:proofErr w:type="spellEnd"/>
      <w:r w:rsidRPr="00357522">
        <w:t xml:space="preserve"> and </w:t>
      </w:r>
      <w:proofErr w:type="spellStart"/>
      <w:r w:rsidRPr="00357522">
        <w:t>Gandhinathan</w:t>
      </w:r>
      <w:proofErr w:type="spellEnd"/>
      <w:r w:rsidRPr="00357522">
        <w:t>, 2006), contemporaneously delivering competitive advantage (Reed et al., 2000), reinforc</w:t>
      </w:r>
      <w:r w:rsidRPr="00357522">
        <w:t>ing our proposition that a Transport TQM framework can offer significant benefit to the</w:t>
      </w:r>
      <w:r w:rsidRPr="00357522">
        <w:rPr>
          <w:spacing w:val="-12"/>
        </w:rPr>
        <w:t xml:space="preserve"> </w:t>
      </w:r>
      <w:r w:rsidRPr="00357522">
        <w:t>sector.</w:t>
      </w:r>
    </w:p>
    <w:p w:rsidR="00F36AD3" w:rsidRPr="00357522" w:rsidRDefault="00F36AD3" w:rsidP="00357522">
      <w:pPr>
        <w:pStyle w:val="BodyText"/>
        <w:ind w:left="0"/>
      </w:pPr>
    </w:p>
    <w:p w:rsidR="00F36AD3" w:rsidRPr="00357522" w:rsidRDefault="00357522" w:rsidP="00357522">
      <w:pPr>
        <w:pStyle w:val="Heading1"/>
        <w:spacing w:line="240" w:lineRule="auto"/>
        <w:ind w:left="0"/>
        <w:rPr>
          <w:sz w:val="22"/>
          <w:szCs w:val="22"/>
          <w:u w:val="single"/>
        </w:rPr>
      </w:pPr>
      <w:r w:rsidRPr="00357522">
        <w:rPr>
          <w:sz w:val="22"/>
          <w:szCs w:val="22"/>
          <w:u w:val="single"/>
        </w:rPr>
        <w:t xml:space="preserve">An overview of the </w:t>
      </w:r>
      <w:r>
        <w:rPr>
          <w:sz w:val="22"/>
          <w:szCs w:val="22"/>
          <w:u w:val="single"/>
        </w:rPr>
        <w:t>two identified Operator Schemes</w:t>
      </w:r>
    </w:p>
    <w:p w:rsidR="00F36AD3" w:rsidRPr="00357522" w:rsidRDefault="00357522" w:rsidP="00357522">
      <w:pPr>
        <w:pStyle w:val="BodyText"/>
        <w:ind w:left="0"/>
        <w:jc w:val="both"/>
      </w:pPr>
      <w:r w:rsidRPr="00357522">
        <w:t>The Freight Operator Recognition Scheme (FORS) was initially established in 2008 by Transport for London</w:t>
      </w:r>
      <w:r w:rsidRPr="00357522">
        <w:rPr>
          <w:spacing w:val="-6"/>
        </w:rPr>
        <w:t xml:space="preserve"> </w:t>
      </w:r>
      <w:r w:rsidRPr="00357522">
        <w:t>(T</w:t>
      </w:r>
      <w:r w:rsidRPr="00357522">
        <w:t>fL)</w:t>
      </w:r>
      <w:r w:rsidRPr="00357522">
        <w:rPr>
          <w:spacing w:val="-6"/>
        </w:rPr>
        <w:t xml:space="preserve"> </w:t>
      </w:r>
      <w:r w:rsidRPr="00357522">
        <w:t>in</w:t>
      </w:r>
      <w:r w:rsidRPr="00357522">
        <w:rPr>
          <w:spacing w:val="-4"/>
        </w:rPr>
        <w:t xml:space="preserve"> </w:t>
      </w:r>
      <w:r w:rsidRPr="00357522">
        <w:t>response</w:t>
      </w:r>
      <w:r w:rsidRPr="00357522">
        <w:rPr>
          <w:spacing w:val="-5"/>
        </w:rPr>
        <w:t xml:space="preserve"> </w:t>
      </w:r>
      <w:r w:rsidRPr="00357522">
        <w:t>to</w:t>
      </w:r>
      <w:r w:rsidRPr="00357522">
        <w:rPr>
          <w:spacing w:val="-5"/>
        </w:rPr>
        <w:t xml:space="preserve"> </w:t>
      </w:r>
      <w:r w:rsidRPr="00357522">
        <w:t>the</w:t>
      </w:r>
      <w:r w:rsidRPr="00357522">
        <w:rPr>
          <w:spacing w:val="-6"/>
        </w:rPr>
        <w:t xml:space="preserve"> </w:t>
      </w:r>
      <w:r w:rsidRPr="00357522">
        <w:t>introduction</w:t>
      </w:r>
      <w:r w:rsidRPr="00357522">
        <w:rPr>
          <w:spacing w:val="-6"/>
        </w:rPr>
        <w:t xml:space="preserve"> </w:t>
      </w:r>
      <w:r w:rsidRPr="00357522">
        <w:t>of</w:t>
      </w:r>
      <w:r w:rsidRPr="00357522">
        <w:rPr>
          <w:spacing w:val="-6"/>
        </w:rPr>
        <w:t xml:space="preserve"> </w:t>
      </w:r>
      <w:r w:rsidRPr="00357522">
        <w:t>London’s</w:t>
      </w:r>
      <w:r w:rsidRPr="00357522">
        <w:rPr>
          <w:spacing w:val="-3"/>
        </w:rPr>
        <w:t xml:space="preserve"> </w:t>
      </w:r>
      <w:r w:rsidRPr="00357522">
        <w:t>Urban</w:t>
      </w:r>
      <w:r w:rsidRPr="00357522">
        <w:rPr>
          <w:spacing w:val="-6"/>
        </w:rPr>
        <w:t xml:space="preserve"> </w:t>
      </w:r>
      <w:r w:rsidRPr="00357522">
        <w:t>Low</w:t>
      </w:r>
      <w:r w:rsidRPr="00357522">
        <w:rPr>
          <w:spacing w:val="-5"/>
        </w:rPr>
        <w:t xml:space="preserve"> </w:t>
      </w:r>
      <w:r w:rsidRPr="00357522">
        <w:t>Emission</w:t>
      </w:r>
      <w:r w:rsidRPr="00357522">
        <w:rPr>
          <w:spacing w:val="-6"/>
        </w:rPr>
        <w:t xml:space="preserve"> </w:t>
      </w:r>
      <w:r w:rsidRPr="00357522">
        <w:t>Zone.</w:t>
      </w:r>
      <w:r w:rsidRPr="00357522">
        <w:rPr>
          <w:spacing w:val="-3"/>
        </w:rPr>
        <w:t xml:space="preserve"> </w:t>
      </w:r>
      <w:r w:rsidRPr="00357522">
        <w:t>The</w:t>
      </w:r>
      <w:r w:rsidRPr="00357522">
        <w:rPr>
          <w:spacing w:val="-6"/>
        </w:rPr>
        <w:t xml:space="preserve"> </w:t>
      </w:r>
      <w:r w:rsidRPr="00357522">
        <w:t>original</w:t>
      </w:r>
      <w:r w:rsidRPr="00357522">
        <w:rPr>
          <w:spacing w:val="-4"/>
        </w:rPr>
        <w:t xml:space="preserve"> </w:t>
      </w:r>
      <w:r w:rsidRPr="00357522">
        <w:t>FORS scheme</w:t>
      </w:r>
      <w:r w:rsidRPr="00357522">
        <w:rPr>
          <w:spacing w:val="-4"/>
        </w:rPr>
        <w:t xml:space="preserve"> </w:t>
      </w:r>
      <w:r w:rsidRPr="00357522">
        <w:t>under</w:t>
      </w:r>
      <w:r w:rsidRPr="00357522">
        <w:rPr>
          <w:spacing w:val="-6"/>
        </w:rPr>
        <w:t xml:space="preserve"> </w:t>
      </w:r>
      <w:r w:rsidRPr="00357522">
        <w:t>TfL</w:t>
      </w:r>
      <w:r w:rsidRPr="00357522">
        <w:rPr>
          <w:spacing w:val="-5"/>
        </w:rPr>
        <w:t xml:space="preserve"> </w:t>
      </w:r>
      <w:r w:rsidRPr="00357522">
        <w:t>was</w:t>
      </w:r>
      <w:r w:rsidRPr="00357522">
        <w:rPr>
          <w:spacing w:val="-6"/>
        </w:rPr>
        <w:t xml:space="preserve"> </w:t>
      </w:r>
      <w:r w:rsidRPr="00357522">
        <w:t>a</w:t>
      </w:r>
      <w:r w:rsidRPr="00357522">
        <w:rPr>
          <w:spacing w:val="-4"/>
        </w:rPr>
        <w:t xml:space="preserve"> </w:t>
      </w:r>
      <w:r w:rsidRPr="00357522">
        <w:t>free,</w:t>
      </w:r>
      <w:r w:rsidRPr="00357522">
        <w:rPr>
          <w:spacing w:val="-6"/>
        </w:rPr>
        <w:t xml:space="preserve"> </w:t>
      </w:r>
      <w:r w:rsidRPr="00357522">
        <w:t>voluntary</w:t>
      </w:r>
      <w:r w:rsidRPr="00357522">
        <w:rPr>
          <w:spacing w:val="-4"/>
        </w:rPr>
        <w:t xml:space="preserve"> </w:t>
      </w:r>
      <w:r w:rsidRPr="00357522">
        <w:t>accreditation</w:t>
      </w:r>
      <w:r w:rsidRPr="00357522">
        <w:rPr>
          <w:spacing w:val="-9"/>
        </w:rPr>
        <w:t xml:space="preserve"> </w:t>
      </w:r>
      <w:r w:rsidRPr="00357522">
        <w:t>membership</w:t>
      </w:r>
      <w:r w:rsidRPr="00357522">
        <w:rPr>
          <w:spacing w:val="-7"/>
        </w:rPr>
        <w:t xml:space="preserve"> </w:t>
      </w:r>
      <w:r w:rsidRPr="00357522">
        <w:t>scheme</w:t>
      </w:r>
      <w:r w:rsidRPr="00357522">
        <w:rPr>
          <w:spacing w:val="-6"/>
        </w:rPr>
        <w:t xml:space="preserve"> </w:t>
      </w:r>
      <w:r w:rsidRPr="00357522">
        <w:t>that</w:t>
      </w:r>
      <w:r w:rsidRPr="00357522">
        <w:rPr>
          <w:spacing w:val="-7"/>
        </w:rPr>
        <w:t xml:space="preserve"> </w:t>
      </w:r>
      <w:r w:rsidRPr="00357522">
        <w:t>aimed</w:t>
      </w:r>
      <w:r w:rsidRPr="00357522">
        <w:rPr>
          <w:spacing w:val="-7"/>
        </w:rPr>
        <w:t xml:space="preserve"> </w:t>
      </w:r>
      <w:r w:rsidRPr="00357522">
        <w:t>to</w:t>
      </w:r>
      <w:r w:rsidRPr="00357522">
        <w:rPr>
          <w:spacing w:val="-5"/>
        </w:rPr>
        <w:t xml:space="preserve"> </w:t>
      </w:r>
      <w:r w:rsidRPr="00357522">
        <w:t>improve</w:t>
      </w:r>
      <w:r w:rsidRPr="00357522">
        <w:rPr>
          <w:spacing w:val="-6"/>
        </w:rPr>
        <w:t xml:space="preserve"> </w:t>
      </w:r>
      <w:r w:rsidRPr="00357522">
        <w:t>the delivery of freight across central London, where it formed part of the wider London Freight Plan, providing</w:t>
      </w:r>
      <w:r w:rsidRPr="00357522">
        <w:rPr>
          <w:spacing w:val="-5"/>
        </w:rPr>
        <w:t xml:space="preserve"> </w:t>
      </w:r>
      <w:r w:rsidRPr="00357522">
        <w:t>the</w:t>
      </w:r>
      <w:r w:rsidRPr="00357522">
        <w:rPr>
          <w:spacing w:val="-7"/>
        </w:rPr>
        <w:t xml:space="preserve"> </w:t>
      </w:r>
      <w:r w:rsidRPr="00357522">
        <w:t>freight</w:t>
      </w:r>
      <w:r w:rsidRPr="00357522">
        <w:rPr>
          <w:spacing w:val="-4"/>
        </w:rPr>
        <w:t xml:space="preserve"> </w:t>
      </w:r>
      <w:r w:rsidRPr="00357522">
        <w:t>industry</w:t>
      </w:r>
      <w:r w:rsidRPr="00357522">
        <w:rPr>
          <w:spacing w:val="-3"/>
        </w:rPr>
        <w:t xml:space="preserve"> </w:t>
      </w:r>
      <w:r w:rsidRPr="00357522">
        <w:t>with</w:t>
      </w:r>
      <w:r w:rsidRPr="00357522">
        <w:rPr>
          <w:spacing w:val="-5"/>
        </w:rPr>
        <w:t xml:space="preserve"> </w:t>
      </w:r>
      <w:r w:rsidRPr="00357522">
        <w:t>a</w:t>
      </w:r>
      <w:r w:rsidRPr="00357522">
        <w:rPr>
          <w:spacing w:val="-4"/>
        </w:rPr>
        <w:t xml:space="preserve"> </w:t>
      </w:r>
      <w:r w:rsidRPr="00357522">
        <w:t>quality</w:t>
      </w:r>
      <w:r w:rsidRPr="00357522">
        <w:rPr>
          <w:spacing w:val="-5"/>
        </w:rPr>
        <w:t xml:space="preserve"> </w:t>
      </w:r>
      <w:r w:rsidRPr="00357522">
        <w:t>and</w:t>
      </w:r>
      <w:r w:rsidRPr="00357522">
        <w:rPr>
          <w:spacing w:val="-5"/>
        </w:rPr>
        <w:t xml:space="preserve"> </w:t>
      </w:r>
      <w:r w:rsidRPr="00357522">
        <w:t>performance</w:t>
      </w:r>
      <w:r w:rsidRPr="00357522">
        <w:rPr>
          <w:spacing w:val="-6"/>
        </w:rPr>
        <w:t xml:space="preserve"> </w:t>
      </w:r>
      <w:r w:rsidRPr="00357522">
        <w:t>benchmark</w:t>
      </w:r>
      <w:r w:rsidRPr="00357522">
        <w:rPr>
          <w:spacing w:val="-4"/>
        </w:rPr>
        <w:t xml:space="preserve"> </w:t>
      </w:r>
      <w:r w:rsidRPr="00357522">
        <w:t>(TFL,</w:t>
      </w:r>
      <w:r w:rsidRPr="00357522">
        <w:rPr>
          <w:spacing w:val="-6"/>
        </w:rPr>
        <w:t xml:space="preserve"> </w:t>
      </w:r>
      <w:r w:rsidRPr="00357522">
        <w:t>2010).</w:t>
      </w:r>
      <w:r w:rsidRPr="00357522">
        <w:rPr>
          <w:spacing w:val="-7"/>
        </w:rPr>
        <w:t xml:space="preserve"> </w:t>
      </w:r>
      <w:r w:rsidRPr="00357522">
        <w:t>The</w:t>
      </w:r>
      <w:r w:rsidRPr="00357522">
        <w:rPr>
          <w:spacing w:val="-7"/>
        </w:rPr>
        <w:t xml:space="preserve"> </w:t>
      </w:r>
      <w:r w:rsidRPr="00357522">
        <w:t>TfL</w:t>
      </w:r>
      <w:r w:rsidRPr="00357522">
        <w:rPr>
          <w:spacing w:val="-4"/>
        </w:rPr>
        <w:t xml:space="preserve"> </w:t>
      </w:r>
      <w:r w:rsidRPr="00357522">
        <w:t>funding</w:t>
      </w:r>
      <w:r>
        <w:t xml:space="preserve"> </w:t>
      </w:r>
      <w:r w:rsidRPr="00357522">
        <w:t>and subsidy for the FORS scheme cam</w:t>
      </w:r>
      <w:r w:rsidRPr="00357522">
        <w:t>e to an end in 2014/15, at which point it was transferred out of TfL to become the commercially operated Fleet Operator Recognition Scheme (still known as FORS). Although no longer a free scheme, it remains voluntary and the benefits of FORS have been made</w:t>
      </w:r>
      <w:r w:rsidRPr="00357522">
        <w:t xml:space="preserve"> more</w:t>
      </w:r>
      <w:r w:rsidRPr="00357522">
        <w:rPr>
          <w:spacing w:val="-12"/>
        </w:rPr>
        <w:t xml:space="preserve"> </w:t>
      </w:r>
      <w:r w:rsidRPr="00357522">
        <w:t>available</w:t>
      </w:r>
      <w:r w:rsidRPr="00357522">
        <w:rPr>
          <w:spacing w:val="-13"/>
        </w:rPr>
        <w:t xml:space="preserve"> </w:t>
      </w:r>
      <w:r w:rsidRPr="00357522">
        <w:t>to</w:t>
      </w:r>
      <w:r w:rsidRPr="00357522">
        <w:rPr>
          <w:spacing w:val="-12"/>
        </w:rPr>
        <w:t xml:space="preserve"> </w:t>
      </w:r>
      <w:r w:rsidRPr="00357522">
        <w:t>a</w:t>
      </w:r>
      <w:r w:rsidRPr="00357522">
        <w:rPr>
          <w:spacing w:val="-13"/>
        </w:rPr>
        <w:t xml:space="preserve"> </w:t>
      </w:r>
      <w:r w:rsidRPr="00357522">
        <w:t>wider</w:t>
      </w:r>
      <w:r w:rsidRPr="00357522">
        <w:rPr>
          <w:spacing w:val="-13"/>
        </w:rPr>
        <w:t xml:space="preserve"> </w:t>
      </w:r>
      <w:r w:rsidRPr="00357522">
        <w:t>population</w:t>
      </w:r>
      <w:r w:rsidRPr="00357522">
        <w:rPr>
          <w:spacing w:val="-16"/>
        </w:rPr>
        <w:t xml:space="preserve"> </w:t>
      </w:r>
      <w:r w:rsidRPr="00357522">
        <w:t>of</w:t>
      </w:r>
      <w:r w:rsidRPr="00357522">
        <w:rPr>
          <w:spacing w:val="-13"/>
        </w:rPr>
        <w:t xml:space="preserve"> </w:t>
      </w:r>
      <w:r w:rsidRPr="00357522">
        <w:t>fleet</w:t>
      </w:r>
      <w:r w:rsidRPr="00357522">
        <w:rPr>
          <w:spacing w:val="-12"/>
        </w:rPr>
        <w:t xml:space="preserve"> </w:t>
      </w:r>
      <w:r w:rsidRPr="00357522">
        <w:t>and</w:t>
      </w:r>
      <w:r w:rsidRPr="00357522">
        <w:rPr>
          <w:spacing w:val="-14"/>
        </w:rPr>
        <w:t xml:space="preserve"> </w:t>
      </w:r>
      <w:r w:rsidRPr="00357522">
        <w:t>freight</w:t>
      </w:r>
      <w:r w:rsidRPr="00357522">
        <w:rPr>
          <w:spacing w:val="-12"/>
        </w:rPr>
        <w:t xml:space="preserve"> </w:t>
      </w:r>
      <w:r w:rsidRPr="00357522">
        <w:t>operators</w:t>
      </w:r>
      <w:r w:rsidRPr="00357522">
        <w:rPr>
          <w:spacing w:val="-13"/>
        </w:rPr>
        <w:t xml:space="preserve"> </w:t>
      </w:r>
      <w:r w:rsidRPr="00357522">
        <w:t>following</w:t>
      </w:r>
      <w:r w:rsidRPr="00357522">
        <w:rPr>
          <w:spacing w:val="-14"/>
        </w:rPr>
        <w:t xml:space="preserve"> </w:t>
      </w:r>
      <w:r w:rsidRPr="00357522">
        <w:t>its</w:t>
      </w:r>
      <w:r w:rsidRPr="00357522">
        <w:rPr>
          <w:spacing w:val="-13"/>
        </w:rPr>
        <w:t xml:space="preserve"> </w:t>
      </w:r>
      <w:r w:rsidRPr="00357522">
        <w:t>re-launch</w:t>
      </w:r>
      <w:r w:rsidRPr="00357522">
        <w:rPr>
          <w:spacing w:val="-13"/>
        </w:rPr>
        <w:t xml:space="preserve"> </w:t>
      </w:r>
      <w:r w:rsidRPr="00357522">
        <w:t>on</w:t>
      </w:r>
      <w:r w:rsidRPr="00357522">
        <w:rPr>
          <w:spacing w:val="-14"/>
        </w:rPr>
        <w:t xml:space="preserve"> </w:t>
      </w:r>
      <w:r w:rsidRPr="00357522">
        <w:t>a</w:t>
      </w:r>
      <w:r w:rsidRPr="00357522">
        <w:rPr>
          <w:spacing w:val="-13"/>
        </w:rPr>
        <w:t xml:space="preserve"> </w:t>
      </w:r>
      <w:r w:rsidRPr="00357522">
        <w:t>national scale across the UK, and extension of the scheme to include coach and van operators. The FORS scheme still aims to assist vehicle fleet operators improve all aspects of their operations, including inter alia, road safety, fuel efficiency, reduce e</w:t>
      </w:r>
      <w:r w:rsidRPr="00357522">
        <w:t>missions, and cut costs. Fleet operators can apply for FORS</w:t>
      </w:r>
      <w:r w:rsidRPr="00357522">
        <w:rPr>
          <w:spacing w:val="-2"/>
        </w:rPr>
        <w:t xml:space="preserve"> </w:t>
      </w:r>
      <w:r w:rsidRPr="00357522">
        <w:t>accreditation</w:t>
      </w:r>
      <w:r w:rsidRPr="00357522">
        <w:rPr>
          <w:spacing w:val="-4"/>
        </w:rPr>
        <w:t xml:space="preserve"> </w:t>
      </w:r>
      <w:r w:rsidRPr="00357522">
        <w:t>on</w:t>
      </w:r>
      <w:r w:rsidRPr="00357522">
        <w:rPr>
          <w:spacing w:val="-5"/>
        </w:rPr>
        <w:t xml:space="preserve"> </w:t>
      </w:r>
      <w:r w:rsidRPr="00357522">
        <w:t>three levels</w:t>
      </w:r>
      <w:r w:rsidRPr="00357522">
        <w:rPr>
          <w:spacing w:val="-1"/>
        </w:rPr>
        <w:t xml:space="preserve"> </w:t>
      </w:r>
      <w:r w:rsidRPr="00357522">
        <w:t>–</w:t>
      </w:r>
      <w:r w:rsidRPr="00357522">
        <w:rPr>
          <w:spacing w:val="-3"/>
        </w:rPr>
        <w:t xml:space="preserve"> </w:t>
      </w:r>
      <w:r w:rsidRPr="00357522">
        <w:t>Bronze,</w:t>
      </w:r>
      <w:r w:rsidRPr="00357522">
        <w:rPr>
          <w:spacing w:val="-3"/>
        </w:rPr>
        <w:t xml:space="preserve"> </w:t>
      </w:r>
      <w:r w:rsidRPr="00357522">
        <w:t>Silver</w:t>
      </w:r>
      <w:r w:rsidRPr="00357522">
        <w:rPr>
          <w:spacing w:val="-3"/>
        </w:rPr>
        <w:t xml:space="preserve"> </w:t>
      </w:r>
      <w:r w:rsidRPr="00357522">
        <w:t>and</w:t>
      </w:r>
      <w:r w:rsidRPr="00357522">
        <w:rPr>
          <w:spacing w:val="-2"/>
        </w:rPr>
        <w:t xml:space="preserve"> </w:t>
      </w:r>
      <w:r w:rsidRPr="00357522">
        <w:t>Gold,</w:t>
      </w:r>
      <w:r w:rsidRPr="00357522">
        <w:rPr>
          <w:spacing w:val="-4"/>
        </w:rPr>
        <w:t xml:space="preserve"> </w:t>
      </w:r>
      <w:r w:rsidRPr="00357522">
        <w:t>following</w:t>
      </w:r>
      <w:r w:rsidRPr="00357522">
        <w:rPr>
          <w:spacing w:val="-3"/>
        </w:rPr>
        <w:t xml:space="preserve"> </w:t>
      </w:r>
      <w:r w:rsidRPr="00357522">
        <w:t>a</w:t>
      </w:r>
      <w:r w:rsidRPr="00357522">
        <w:rPr>
          <w:spacing w:val="-3"/>
        </w:rPr>
        <w:t xml:space="preserve"> </w:t>
      </w:r>
      <w:r w:rsidRPr="00357522">
        <w:t>formal</w:t>
      </w:r>
      <w:r w:rsidRPr="00357522">
        <w:rPr>
          <w:spacing w:val="-4"/>
        </w:rPr>
        <w:t xml:space="preserve"> </w:t>
      </w:r>
      <w:r w:rsidRPr="00357522">
        <w:t>company</w:t>
      </w:r>
      <w:r w:rsidRPr="00357522">
        <w:rPr>
          <w:spacing w:val="-1"/>
        </w:rPr>
        <w:t xml:space="preserve"> </w:t>
      </w:r>
      <w:r w:rsidRPr="00357522">
        <w:t>audit</w:t>
      </w:r>
      <w:r w:rsidRPr="00357522">
        <w:rPr>
          <w:spacing w:val="-6"/>
        </w:rPr>
        <w:t xml:space="preserve"> </w:t>
      </w:r>
      <w:r w:rsidRPr="00357522">
        <w:t>of</w:t>
      </w:r>
      <w:r w:rsidRPr="00357522">
        <w:rPr>
          <w:spacing w:val="-3"/>
        </w:rPr>
        <w:t xml:space="preserve"> </w:t>
      </w:r>
      <w:r w:rsidRPr="00357522">
        <w:t>the operator’s premises by an independent FORS</w:t>
      </w:r>
      <w:r w:rsidRPr="00357522">
        <w:rPr>
          <w:spacing w:val="-5"/>
        </w:rPr>
        <w:t xml:space="preserve"> </w:t>
      </w:r>
      <w:r w:rsidRPr="00357522">
        <w:t>auditor.</w:t>
      </w:r>
    </w:p>
    <w:p w:rsidR="00F36AD3" w:rsidRPr="00357522" w:rsidRDefault="00F36AD3" w:rsidP="00357522">
      <w:pPr>
        <w:pStyle w:val="BodyText"/>
        <w:ind w:left="0"/>
      </w:pPr>
    </w:p>
    <w:p w:rsidR="00F36AD3" w:rsidRPr="00357522" w:rsidRDefault="00357522" w:rsidP="00357522">
      <w:pPr>
        <w:pStyle w:val="BodyText"/>
        <w:ind w:left="0"/>
        <w:jc w:val="both"/>
      </w:pPr>
      <w:r w:rsidRPr="00357522">
        <w:t>The ECOSTARS scheme was established in 2009, s</w:t>
      </w:r>
      <w:r w:rsidRPr="00357522">
        <w:t xml:space="preserve">et up by four local authorities in South Yorkshire </w:t>
      </w:r>
      <w:r w:rsidRPr="00357522">
        <w:lastRenderedPageBreak/>
        <w:t>(Barnsley, Doncaster, Sheffield, and Rotherham) as part of a regional Air Quality Initiative to promote best</w:t>
      </w:r>
      <w:r w:rsidRPr="00357522">
        <w:rPr>
          <w:spacing w:val="-4"/>
        </w:rPr>
        <w:t xml:space="preserve"> </w:t>
      </w:r>
      <w:r w:rsidRPr="00357522">
        <w:t>practice</w:t>
      </w:r>
      <w:r w:rsidRPr="00357522">
        <w:rPr>
          <w:spacing w:val="-4"/>
        </w:rPr>
        <w:t xml:space="preserve"> </w:t>
      </w:r>
      <w:r w:rsidRPr="00357522">
        <w:t>in</w:t>
      </w:r>
      <w:r w:rsidRPr="00357522">
        <w:rPr>
          <w:spacing w:val="-4"/>
        </w:rPr>
        <w:t xml:space="preserve"> </w:t>
      </w:r>
      <w:r w:rsidRPr="00357522">
        <w:t>fleet</w:t>
      </w:r>
      <w:r w:rsidRPr="00357522">
        <w:rPr>
          <w:spacing w:val="-5"/>
        </w:rPr>
        <w:t xml:space="preserve"> </w:t>
      </w:r>
      <w:r w:rsidRPr="00357522">
        <w:t>operations</w:t>
      </w:r>
      <w:r w:rsidRPr="00357522">
        <w:rPr>
          <w:spacing w:val="-4"/>
        </w:rPr>
        <w:t xml:space="preserve"> </w:t>
      </w:r>
      <w:r w:rsidRPr="00357522">
        <w:t>and</w:t>
      </w:r>
      <w:r w:rsidRPr="00357522">
        <w:rPr>
          <w:spacing w:val="-4"/>
        </w:rPr>
        <w:t xml:space="preserve"> </w:t>
      </w:r>
      <w:r w:rsidRPr="00357522">
        <w:t>improved</w:t>
      </w:r>
      <w:r w:rsidRPr="00357522">
        <w:rPr>
          <w:spacing w:val="-4"/>
        </w:rPr>
        <w:t xml:space="preserve"> </w:t>
      </w:r>
      <w:r w:rsidRPr="00357522">
        <w:t>engagement</w:t>
      </w:r>
      <w:r w:rsidRPr="00357522">
        <w:rPr>
          <w:spacing w:val="-4"/>
        </w:rPr>
        <w:t xml:space="preserve"> </w:t>
      </w:r>
      <w:r w:rsidRPr="00357522">
        <w:t>between</w:t>
      </w:r>
      <w:r w:rsidRPr="00357522">
        <w:rPr>
          <w:spacing w:val="-4"/>
        </w:rPr>
        <w:t xml:space="preserve"> </w:t>
      </w:r>
      <w:r w:rsidRPr="00357522">
        <w:t>local/regional</w:t>
      </w:r>
      <w:r w:rsidRPr="00357522">
        <w:rPr>
          <w:spacing w:val="-4"/>
        </w:rPr>
        <w:t xml:space="preserve"> </w:t>
      </w:r>
      <w:r w:rsidRPr="00357522">
        <w:t>governments</w:t>
      </w:r>
      <w:r w:rsidRPr="00357522">
        <w:rPr>
          <w:spacing w:val="-4"/>
        </w:rPr>
        <w:t xml:space="preserve"> </w:t>
      </w:r>
      <w:r w:rsidRPr="00357522">
        <w:t>and comm</w:t>
      </w:r>
      <w:r w:rsidRPr="00357522">
        <w:t>ercial fleet operators (</w:t>
      </w:r>
      <w:proofErr w:type="spellStart"/>
      <w:r w:rsidRPr="00357522">
        <w:t>Fioretto</w:t>
      </w:r>
      <w:proofErr w:type="spellEnd"/>
      <w:r w:rsidRPr="00357522">
        <w:t>, 2014). Unlike FORS, the ECO Stars scheme continues to remain free for operators to join and aims to help them improve efficiency, reduce fuel consumption and emissions,</w:t>
      </w:r>
      <w:r w:rsidRPr="00357522">
        <w:rPr>
          <w:spacing w:val="-7"/>
        </w:rPr>
        <w:t xml:space="preserve"> </w:t>
      </w:r>
      <w:r w:rsidRPr="00357522">
        <w:t>and</w:t>
      </w:r>
      <w:r w:rsidRPr="00357522">
        <w:rPr>
          <w:spacing w:val="-7"/>
        </w:rPr>
        <w:t xml:space="preserve"> </w:t>
      </w:r>
      <w:r w:rsidRPr="00357522">
        <w:t>achieve</w:t>
      </w:r>
      <w:r w:rsidRPr="00357522">
        <w:rPr>
          <w:spacing w:val="-6"/>
        </w:rPr>
        <w:t xml:space="preserve"> </w:t>
      </w:r>
      <w:r w:rsidRPr="00357522">
        <w:t>cost</w:t>
      </w:r>
      <w:r w:rsidRPr="00357522">
        <w:rPr>
          <w:spacing w:val="-9"/>
        </w:rPr>
        <w:t xml:space="preserve"> </w:t>
      </w:r>
      <w:r w:rsidRPr="00357522">
        <w:t>savings</w:t>
      </w:r>
      <w:r w:rsidRPr="00357522">
        <w:rPr>
          <w:spacing w:val="-7"/>
        </w:rPr>
        <w:t xml:space="preserve"> </w:t>
      </w:r>
      <w:r w:rsidRPr="00357522">
        <w:t>(ECOSTARS,</w:t>
      </w:r>
      <w:r w:rsidRPr="00357522">
        <w:rPr>
          <w:spacing w:val="-9"/>
        </w:rPr>
        <w:t xml:space="preserve"> </w:t>
      </w:r>
      <w:r w:rsidRPr="00357522">
        <w:t>2016).</w:t>
      </w:r>
      <w:r w:rsidRPr="00357522">
        <w:rPr>
          <w:spacing w:val="-9"/>
        </w:rPr>
        <w:t xml:space="preserve"> </w:t>
      </w:r>
      <w:r w:rsidRPr="00357522">
        <w:t>Like</w:t>
      </w:r>
      <w:r w:rsidRPr="00357522">
        <w:rPr>
          <w:spacing w:val="-6"/>
        </w:rPr>
        <w:t xml:space="preserve"> </w:t>
      </w:r>
      <w:r w:rsidRPr="00357522">
        <w:t>FORS,</w:t>
      </w:r>
      <w:r w:rsidRPr="00357522">
        <w:rPr>
          <w:spacing w:val="-6"/>
        </w:rPr>
        <w:t xml:space="preserve"> </w:t>
      </w:r>
      <w:r w:rsidRPr="00357522">
        <w:t>ECOSTARS</w:t>
      </w:r>
      <w:r w:rsidRPr="00357522">
        <w:rPr>
          <w:spacing w:val="-7"/>
        </w:rPr>
        <w:t xml:space="preserve"> </w:t>
      </w:r>
      <w:r w:rsidRPr="00357522">
        <w:t>has</w:t>
      </w:r>
      <w:r w:rsidRPr="00357522">
        <w:rPr>
          <w:spacing w:val="-7"/>
        </w:rPr>
        <w:t xml:space="preserve"> </w:t>
      </w:r>
      <w:r w:rsidRPr="00357522">
        <w:t>also</w:t>
      </w:r>
      <w:r w:rsidRPr="00357522">
        <w:rPr>
          <w:spacing w:val="-6"/>
        </w:rPr>
        <w:t xml:space="preserve"> </w:t>
      </w:r>
      <w:r w:rsidRPr="00357522">
        <w:t>expanded</w:t>
      </w:r>
      <w:r w:rsidRPr="00357522">
        <w:rPr>
          <w:spacing w:val="-7"/>
        </w:rPr>
        <w:t xml:space="preserve"> </w:t>
      </w:r>
      <w:r w:rsidRPr="00357522">
        <w:t>in</w:t>
      </w:r>
      <w:r w:rsidRPr="00357522">
        <w:rPr>
          <w:spacing w:val="-8"/>
        </w:rPr>
        <w:t xml:space="preserve"> </w:t>
      </w:r>
      <w:r w:rsidRPr="00357522">
        <w:t>the UK beyond the South Yorkshire region, and has been adopted by numerous local authorities across the UK including extensively take-up throughout Scotland, and migrating to some European cities as a mechanism to help address their air quality issues. The</w:t>
      </w:r>
      <w:r w:rsidRPr="00357522">
        <w:t xml:space="preserve"> scheme is open to fleet operators of HGVs, buses, coaches, vans or taxis either based or operating in an area with a local ECOSTARS scheme. The ECOSTARS accreditation process involves an initial assessment against six key pillars of fleet operational</w:t>
      </w:r>
      <w:r w:rsidRPr="00357522">
        <w:rPr>
          <w:spacing w:val="-6"/>
        </w:rPr>
        <w:t xml:space="preserve"> </w:t>
      </w:r>
      <w:r w:rsidRPr="00357522">
        <w:t>effi</w:t>
      </w:r>
      <w:r w:rsidRPr="00357522">
        <w:t>ciency.</w:t>
      </w:r>
      <w:r w:rsidRPr="00357522">
        <w:rPr>
          <w:spacing w:val="-6"/>
        </w:rPr>
        <w:t xml:space="preserve"> </w:t>
      </w:r>
      <w:r w:rsidRPr="00357522">
        <w:t>Depending</w:t>
      </w:r>
      <w:r w:rsidRPr="00357522">
        <w:rPr>
          <w:spacing w:val="-6"/>
        </w:rPr>
        <w:t xml:space="preserve"> </w:t>
      </w:r>
      <w:r w:rsidRPr="00357522">
        <w:t>on</w:t>
      </w:r>
      <w:r w:rsidRPr="00357522">
        <w:rPr>
          <w:spacing w:val="-6"/>
        </w:rPr>
        <w:t xml:space="preserve"> </w:t>
      </w:r>
      <w:r w:rsidRPr="00357522">
        <w:t>each</w:t>
      </w:r>
      <w:r w:rsidRPr="00357522">
        <w:rPr>
          <w:spacing w:val="-8"/>
        </w:rPr>
        <w:t xml:space="preserve"> </w:t>
      </w:r>
      <w:r w:rsidRPr="00357522">
        <w:t>assessed</w:t>
      </w:r>
      <w:r w:rsidRPr="00357522">
        <w:rPr>
          <w:spacing w:val="-8"/>
        </w:rPr>
        <w:t xml:space="preserve"> </w:t>
      </w:r>
      <w:r w:rsidRPr="00357522">
        <w:t>operators</w:t>
      </w:r>
      <w:r w:rsidRPr="00357522">
        <w:rPr>
          <w:spacing w:val="-8"/>
        </w:rPr>
        <w:t xml:space="preserve"> </w:t>
      </w:r>
      <w:r w:rsidRPr="00357522">
        <w:t>current</w:t>
      </w:r>
      <w:r w:rsidRPr="00357522">
        <w:rPr>
          <w:spacing w:val="-8"/>
        </w:rPr>
        <w:t xml:space="preserve"> </w:t>
      </w:r>
      <w:r w:rsidRPr="00357522">
        <w:t>operational</w:t>
      </w:r>
      <w:r w:rsidRPr="00357522">
        <w:rPr>
          <w:spacing w:val="-6"/>
        </w:rPr>
        <w:t xml:space="preserve"> </w:t>
      </w:r>
      <w:r w:rsidRPr="00357522">
        <w:t>and</w:t>
      </w:r>
      <w:r w:rsidRPr="00357522">
        <w:rPr>
          <w:spacing w:val="-6"/>
        </w:rPr>
        <w:t xml:space="preserve"> </w:t>
      </w:r>
      <w:r w:rsidRPr="00357522">
        <w:t>environmental performance, a star rating (ranging from 1 star to 5 stars) is</w:t>
      </w:r>
      <w:r w:rsidRPr="00357522">
        <w:rPr>
          <w:spacing w:val="-7"/>
        </w:rPr>
        <w:t xml:space="preserve"> </w:t>
      </w:r>
      <w:r w:rsidRPr="00357522">
        <w:t>awarded.</w:t>
      </w:r>
    </w:p>
    <w:p w:rsidR="00F36AD3" w:rsidRPr="00357522" w:rsidRDefault="00F36AD3" w:rsidP="00357522">
      <w:pPr>
        <w:pStyle w:val="BodyText"/>
        <w:ind w:left="0"/>
      </w:pPr>
    </w:p>
    <w:p w:rsidR="00F36AD3" w:rsidRPr="00357522" w:rsidRDefault="00357522" w:rsidP="00357522">
      <w:pPr>
        <w:pStyle w:val="BodyText"/>
        <w:ind w:left="0"/>
        <w:jc w:val="both"/>
      </w:pPr>
      <w:r w:rsidRPr="00357522">
        <w:t>We acknowledge that there are other recognition schemes in the UK such as the Freight Transport Asso</w:t>
      </w:r>
      <w:r w:rsidRPr="00357522">
        <w:t>ciation’s</w:t>
      </w:r>
      <w:r w:rsidRPr="00357522">
        <w:rPr>
          <w:spacing w:val="-9"/>
        </w:rPr>
        <w:t xml:space="preserve"> </w:t>
      </w:r>
      <w:r w:rsidRPr="00357522">
        <w:t>‘Truck</w:t>
      </w:r>
      <w:r w:rsidRPr="00357522">
        <w:rPr>
          <w:spacing w:val="-9"/>
        </w:rPr>
        <w:t xml:space="preserve"> </w:t>
      </w:r>
      <w:r w:rsidRPr="00357522">
        <w:t>Excellence’</w:t>
      </w:r>
      <w:r w:rsidRPr="00357522">
        <w:rPr>
          <w:spacing w:val="-8"/>
        </w:rPr>
        <w:t xml:space="preserve"> </w:t>
      </w:r>
      <w:r w:rsidRPr="00357522">
        <w:t>and</w:t>
      </w:r>
      <w:r w:rsidRPr="00357522">
        <w:rPr>
          <w:spacing w:val="-10"/>
        </w:rPr>
        <w:t xml:space="preserve"> </w:t>
      </w:r>
      <w:r w:rsidRPr="00357522">
        <w:t>‘Van</w:t>
      </w:r>
      <w:r w:rsidRPr="00357522">
        <w:rPr>
          <w:spacing w:val="-10"/>
        </w:rPr>
        <w:t xml:space="preserve"> </w:t>
      </w:r>
      <w:r w:rsidRPr="00357522">
        <w:t>Excellence’.</w:t>
      </w:r>
      <w:r w:rsidRPr="00357522">
        <w:rPr>
          <w:spacing w:val="-9"/>
        </w:rPr>
        <w:t xml:space="preserve"> </w:t>
      </w:r>
      <w:r w:rsidRPr="00357522">
        <w:t>The</w:t>
      </w:r>
      <w:r w:rsidRPr="00357522">
        <w:rPr>
          <w:spacing w:val="-8"/>
        </w:rPr>
        <w:t xml:space="preserve"> </w:t>
      </w:r>
      <w:r w:rsidRPr="00357522">
        <w:t>Truck</w:t>
      </w:r>
      <w:r w:rsidRPr="00357522">
        <w:rPr>
          <w:spacing w:val="-9"/>
        </w:rPr>
        <w:t xml:space="preserve"> </w:t>
      </w:r>
      <w:r w:rsidRPr="00357522">
        <w:t>Excellence</w:t>
      </w:r>
      <w:r w:rsidRPr="00357522">
        <w:rPr>
          <w:spacing w:val="-8"/>
        </w:rPr>
        <w:t xml:space="preserve"> </w:t>
      </w:r>
      <w:r w:rsidRPr="00357522">
        <w:t>certification</w:t>
      </w:r>
      <w:r w:rsidRPr="00357522">
        <w:rPr>
          <w:spacing w:val="-10"/>
        </w:rPr>
        <w:t xml:space="preserve"> </w:t>
      </w:r>
      <w:r w:rsidRPr="00357522">
        <w:t>scheme</w:t>
      </w:r>
      <w:r w:rsidRPr="00357522">
        <w:rPr>
          <w:spacing w:val="-8"/>
        </w:rPr>
        <w:t xml:space="preserve"> </w:t>
      </w:r>
      <w:r w:rsidRPr="00357522">
        <w:t>audits an operator's compliance with their Operator licence undertakings. Similarly, Van Excellence is designed to allow operators to ensure their standards of ope</w:t>
      </w:r>
      <w:r w:rsidRPr="00357522">
        <w:t>ration meet the best practice requirements determined in the Van Excellence Code, which we believe represents a local derivation of the previously identified Sustainable Urban Goods Logistics Achieved by Regional &amp; Local polices. The</w:t>
      </w:r>
      <w:r w:rsidRPr="00357522">
        <w:rPr>
          <w:spacing w:val="-9"/>
        </w:rPr>
        <w:t xml:space="preserve"> </w:t>
      </w:r>
      <w:r w:rsidRPr="00357522">
        <w:t>FTA</w:t>
      </w:r>
      <w:r w:rsidRPr="00357522">
        <w:rPr>
          <w:spacing w:val="-10"/>
        </w:rPr>
        <w:t xml:space="preserve"> </w:t>
      </w:r>
      <w:r w:rsidRPr="00357522">
        <w:t>schemes</w:t>
      </w:r>
      <w:r w:rsidRPr="00357522">
        <w:rPr>
          <w:spacing w:val="-11"/>
        </w:rPr>
        <w:t xml:space="preserve"> </w:t>
      </w:r>
      <w:r w:rsidRPr="00357522">
        <w:t>can</w:t>
      </w:r>
      <w:r w:rsidRPr="00357522">
        <w:rPr>
          <w:spacing w:val="-10"/>
        </w:rPr>
        <w:t xml:space="preserve"> </w:t>
      </w:r>
      <w:r w:rsidRPr="00357522">
        <w:t>also</w:t>
      </w:r>
      <w:r w:rsidRPr="00357522">
        <w:rPr>
          <w:spacing w:val="-9"/>
        </w:rPr>
        <w:t xml:space="preserve"> </w:t>
      </w:r>
      <w:r w:rsidRPr="00357522">
        <w:t>a</w:t>
      </w:r>
      <w:r w:rsidRPr="00357522">
        <w:t>rguably</w:t>
      </w:r>
      <w:r w:rsidRPr="00357522">
        <w:rPr>
          <w:spacing w:val="-8"/>
        </w:rPr>
        <w:t xml:space="preserve"> </w:t>
      </w:r>
      <w:r w:rsidRPr="00357522">
        <w:t>demonstrate</w:t>
      </w:r>
      <w:r w:rsidRPr="00357522">
        <w:rPr>
          <w:spacing w:val="-8"/>
        </w:rPr>
        <w:t xml:space="preserve"> </w:t>
      </w:r>
      <w:r w:rsidRPr="00357522">
        <w:t>the</w:t>
      </w:r>
      <w:r w:rsidRPr="00357522">
        <w:rPr>
          <w:spacing w:val="-9"/>
        </w:rPr>
        <w:t xml:space="preserve"> </w:t>
      </w:r>
      <w:r w:rsidRPr="00357522">
        <w:t>development</w:t>
      </w:r>
      <w:r w:rsidRPr="00357522">
        <w:rPr>
          <w:spacing w:val="-11"/>
        </w:rPr>
        <w:t xml:space="preserve"> </w:t>
      </w:r>
      <w:r w:rsidRPr="00357522">
        <w:t>of</w:t>
      </w:r>
      <w:r w:rsidRPr="00357522">
        <w:rPr>
          <w:spacing w:val="-9"/>
        </w:rPr>
        <w:t xml:space="preserve"> </w:t>
      </w:r>
      <w:r w:rsidRPr="00357522">
        <w:t>a</w:t>
      </w:r>
      <w:r w:rsidRPr="00357522">
        <w:rPr>
          <w:spacing w:val="-9"/>
        </w:rPr>
        <w:t xml:space="preserve"> </w:t>
      </w:r>
      <w:r w:rsidRPr="00357522">
        <w:t>scheme</w:t>
      </w:r>
      <w:r w:rsidRPr="00357522">
        <w:rPr>
          <w:spacing w:val="-8"/>
        </w:rPr>
        <w:t xml:space="preserve"> </w:t>
      </w:r>
      <w:r w:rsidRPr="00357522">
        <w:t>by</w:t>
      </w:r>
      <w:r w:rsidRPr="00357522">
        <w:rPr>
          <w:spacing w:val="-10"/>
        </w:rPr>
        <w:t xml:space="preserve"> </w:t>
      </w:r>
      <w:r w:rsidRPr="00357522">
        <w:t>a</w:t>
      </w:r>
      <w:r w:rsidRPr="00357522">
        <w:rPr>
          <w:spacing w:val="-9"/>
        </w:rPr>
        <w:t xml:space="preserve"> </w:t>
      </w:r>
      <w:r w:rsidRPr="00357522">
        <w:t>professional</w:t>
      </w:r>
      <w:r w:rsidRPr="00357522">
        <w:rPr>
          <w:spacing w:val="-10"/>
        </w:rPr>
        <w:t xml:space="preserve"> </w:t>
      </w:r>
      <w:r w:rsidRPr="00357522">
        <w:t>body that has adopted what the industry deemed to be the ‘prime cuts’ of the previously mentioned EU initiatives and the original TfL FORS scheme prior to its nationwide</w:t>
      </w:r>
      <w:r w:rsidRPr="00357522">
        <w:rPr>
          <w:spacing w:val="-19"/>
        </w:rPr>
        <w:t xml:space="preserve"> </w:t>
      </w:r>
      <w:r w:rsidRPr="00357522">
        <w:t>adaptation.</w:t>
      </w:r>
    </w:p>
    <w:p w:rsidR="00F36AD3" w:rsidRPr="00357522" w:rsidRDefault="00F36AD3" w:rsidP="00357522">
      <w:pPr>
        <w:pStyle w:val="BodyText"/>
        <w:ind w:left="0"/>
      </w:pPr>
    </w:p>
    <w:p w:rsidR="00F36AD3" w:rsidRPr="00357522" w:rsidRDefault="00357522" w:rsidP="00357522">
      <w:pPr>
        <w:pStyle w:val="Heading1"/>
        <w:spacing w:line="240" w:lineRule="auto"/>
        <w:ind w:left="0"/>
        <w:rPr>
          <w:sz w:val="22"/>
          <w:szCs w:val="22"/>
          <w:u w:val="single"/>
        </w:rPr>
      </w:pPr>
      <w:r w:rsidRPr="00357522">
        <w:rPr>
          <w:sz w:val="22"/>
          <w:szCs w:val="22"/>
          <w:u w:val="single"/>
        </w:rPr>
        <w:t>RESEARC</w:t>
      </w:r>
      <w:r w:rsidRPr="00357522">
        <w:rPr>
          <w:sz w:val="22"/>
          <w:szCs w:val="22"/>
          <w:u w:val="single"/>
        </w:rPr>
        <w:t>H APPROACH</w:t>
      </w:r>
    </w:p>
    <w:p w:rsidR="00F36AD3" w:rsidRDefault="00357522" w:rsidP="00357522">
      <w:pPr>
        <w:pStyle w:val="BodyText"/>
        <w:ind w:left="0"/>
        <w:jc w:val="both"/>
      </w:pPr>
      <w:r w:rsidRPr="00357522">
        <w:t>We conducted a comparative analysis of two major recognition schemes in the UK. The research approach</w:t>
      </w:r>
      <w:r w:rsidRPr="00357522">
        <w:rPr>
          <w:spacing w:val="-6"/>
        </w:rPr>
        <w:t xml:space="preserve"> </w:t>
      </w:r>
      <w:r w:rsidRPr="00357522">
        <w:t>has</w:t>
      </w:r>
      <w:r w:rsidRPr="00357522">
        <w:rPr>
          <w:spacing w:val="-6"/>
        </w:rPr>
        <w:t xml:space="preserve"> </w:t>
      </w:r>
      <w:r w:rsidRPr="00357522">
        <w:t>incorporated</w:t>
      </w:r>
      <w:r w:rsidRPr="00357522">
        <w:rPr>
          <w:spacing w:val="-9"/>
        </w:rPr>
        <w:t xml:space="preserve"> </w:t>
      </w:r>
      <w:r w:rsidRPr="00357522">
        <w:t>an</w:t>
      </w:r>
      <w:r w:rsidRPr="00357522">
        <w:rPr>
          <w:spacing w:val="-6"/>
        </w:rPr>
        <w:t xml:space="preserve"> </w:t>
      </w:r>
      <w:r w:rsidRPr="00357522">
        <w:t>industry</w:t>
      </w:r>
      <w:r w:rsidRPr="00357522">
        <w:rPr>
          <w:spacing w:val="-5"/>
        </w:rPr>
        <w:t xml:space="preserve"> </w:t>
      </w:r>
      <w:r w:rsidRPr="00357522">
        <w:t>survey</w:t>
      </w:r>
      <w:r w:rsidRPr="00357522">
        <w:rPr>
          <w:spacing w:val="-6"/>
        </w:rPr>
        <w:t xml:space="preserve"> </w:t>
      </w:r>
      <w:r w:rsidRPr="00357522">
        <w:t>and</w:t>
      </w:r>
      <w:r w:rsidRPr="00357522">
        <w:rPr>
          <w:spacing w:val="-6"/>
        </w:rPr>
        <w:t xml:space="preserve"> </w:t>
      </w:r>
      <w:r w:rsidRPr="00357522">
        <w:t>qualitative</w:t>
      </w:r>
      <w:r w:rsidRPr="00357522">
        <w:rPr>
          <w:spacing w:val="-5"/>
        </w:rPr>
        <w:t xml:space="preserve"> </w:t>
      </w:r>
      <w:r w:rsidRPr="00357522">
        <w:t>interviews</w:t>
      </w:r>
      <w:r w:rsidRPr="00357522">
        <w:rPr>
          <w:spacing w:val="-5"/>
        </w:rPr>
        <w:t xml:space="preserve"> </w:t>
      </w:r>
      <w:r w:rsidRPr="00357522">
        <w:t>which</w:t>
      </w:r>
      <w:r w:rsidRPr="00357522">
        <w:rPr>
          <w:spacing w:val="-6"/>
        </w:rPr>
        <w:t xml:space="preserve"> </w:t>
      </w:r>
      <w:r w:rsidRPr="00357522">
        <w:t>has</w:t>
      </w:r>
      <w:r w:rsidRPr="00357522">
        <w:rPr>
          <w:spacing w:val="-6"/>
        </w:rPr>
        <w:t xml:space="preserve"> </w:t>
      </w:r>
      <w:r w:rsidRPr="00357522">
        <w:t>led</w:t>
      </w:r>
      <w:r w:rsidRPr="00357522">
        <w:rPr>
          <w:spacing w:val="-6"/>
        </w:rPr>
        <w:t xml:space="preserve"> </w:t>
      </w:r>
      <w:r w:rsidRPr="00357522">
        <w:t>to</w:t>
      </w:r>
      <w:r w:rsidRPr="00357522">
        <w:rPr>
          <w:spacing w:val="-5"/>
        </w:rPr>
        <w:t xml:space="preserve"> </w:t>
      </w:r>
      <w:r w:rsidRPr="00357522">
        <w:t>the</w:t>
      </w:r>
      <w:r w:rsidRPr="00357522">
        <w:rPr>
          <w:spacing w:val="-7"/>
        </w:rPr>
        <w:t xml:space="preserve"> </w:t>
      </w:r>
      <w:r w:rsidRPr="00357522">
        <w:t>ongoing development</w:t>
      </w:r>
      <w:r w:rsidRPr="00357522">
        <w:rPr>
          <w:spacing w:val="-10"/>
        </w:rPr>
        <w:t xml:space="preserve"> </w:t>
      </w:r>
      <w:r w:rsidRPr="00357522">
        <w:t>of</w:t>
      </w:r>
      <w:r w:rsidRPr="00357522">
        <w:rPr>
          <w:spacing w:val="-11"/>
        </w:rPr>
        <w:t xml:space="preserve"> </w:t>
      </w:r>
      <w:r w:rsidRPr="00357522">
        <w:t>a</w:t>
      </w:r>
      <w:r w:rsidRPr="00357522">
        <w:rPr>
          <w:spacing w:val="-13"/>
        </w:rPr>
        <w:t xml:space="preserve"> </w:t>
      </w:r>
      <w:r w:rsidRPr="00357522">
        <w:t>multi-criteria</w:t>
      </w:r>
      <w:r w:rsidRPr="00357522">
        <w:rPr>
          <w:spacing w:val="-11"/>
        </w:rPr>
        <w:t xml:space="preserve"> </w:t>
      </w:r>
      <w:r w:rsidRPr="00357522">
        <w:t>decision</w:t>
      </w:r>
      <w:r w:rsidRPr="00357522">
        <w:rPr>
          <w:spacing w:val="-11"/>
        </w:rPr>
        <w:t xml:space="preserve"> </w:t>
      </w:r>
      <w:r w:rsidRPr="00357522">
        <w:t>analysis</w:t>
      </w:r>
      <w:r w:rsidRPr="00357522">
        <w:rPr>
          <w:spacing w:val="-10"/>
        </w:rPr>
        <w:t xml:space="preserve"> </w:t>
      </w:r>
      <w:r w:rsidRPr="00357522">
        <w:t>tool.</w:t>
      </w:r>
      <w:r w:rsidRPr="00357522">
        <w:rPr>
          <w:spacing w:val="-13"/>
        </w:rPr>
        <w:t xml:space="preserve"> </w:t>
      </w:r>
      <w:r w:rsidRPr="00357522">
        <w:t>Purposive</w:t>
      </w:r>
      <w:r w:rsidRPr="00357522">
        <w:rPr>
          <w:spacing w:val="-10"/>
        </w:rPr>
        <w:t xml:space="preserve"> </w:t>
      </w:r>
      <w:r w:rsidRPr="00357522">
        <w:t>sampling</w:t>
      </w:r>
      <w:r w:rsidRPr="00357522">
        <w:rPr>
          <w:spacing w:val="-11"/>
        </w:rPr>
        <w:t xml:space="preserve"> </w:t>
      </w:r>
      <w:r w:rsidRPr="00357522">
        <w:t>was</w:t>
      </w:r>
      <w:r w:rsidRPr="00357522">
        <w:rPr>
          <w:spacing w:val="-10"/>
        </w:rPr>
        <w:t xml:space="preserve"> </w:t>
      </w:r>
      <w:r w:rsidRPr="00357522">
        <w:t>utilised</w:t>
      </w:r>
      <w:r w:rsidRPr="00357522">
        <w:rPr>
          <w:spacing w:val="-11"/>
        </w:rPr>
        <w:t xml:space="preserve"> </w:t>
      </w:r>
      <w:r w:rsidRPr="00357522">
        <w:t>from</w:t>
      </w:r>
      <w:r w:rsidRPr="00357522">
        <w:rPr>
          <w:spacing w:val="-9"/>
        </w:rPr>
        <w:t xml:space="preserve"> </w:t>
      </w:r>
      <w:r w:rsidRPr="00357522">
        <w:t>the</w:t>
      </w:r>
      <w:r w:rsidRPr="00357522">
        <w:rPr>
          <w:spacing w:val="-13"/>
        </w:rPr>
        <w:t xml:space="preserve"> </w:t>
      </w:r>
      <w:r w:rsidRPr="00357522">
        <w:t>outset (</w:t>
      </w:r>
      <w:proofErr w:type="spellStart"/>
      <w:r w:rsidRPr="00357522">
        <w:t>Easterby</w:t>
      </w:r>
      <w:proofErr w:type="spellEnd"/>
      <w:r w:rsidRPr="00357522">
        <w:t>-Smith</w:t>
      </w:r>
      <w:r w:rsidRPr="00357522">
        <w:rPr>
          <w:spacing w:val="-7"/>
        </w:rPr>
        <w:t xml:space="preserve"> </w:t>
      </w:r>
      <w:r w:rsidRPr="00357522">
        <w:rPr>
          <w:i/>
        </w:rPr>
        <w:t>et</w:t>
      </w:r>
      <w:r w:rsidRPr="00357522">
        <w:rPr>
          <w:i/>
          <w:spacing w:val="-6"/>
        </w:rPr>
        <w:t xml:space="preserve"> </w:t>
      </w:r>
      <w:r w:rsidRPr="00357522">
        <w:rPr>
          <w:i/>
        </w:rPr>
        <w:t>al</w:t>
      </w:r>
      <w:r w:rsidRPr="00357522">
        <w:t>.,</w:t>
      </w:r>
      <w:r w:rsidRPr="00357522">
        <w:rPr>
          <w:spacing w:val="-7"/>
        </w:rPr>
        <w:t xml:space="preserve"> </w:t>
      </w:r>
      <w:r w:rsidRPr="00357522">
        <w:t>2015),</w:t>
      </w:r>
      <w:r w:rsidRPr="00357522">
        <w:rPr>
          <w:spacing w:val="-6"/>
        </w:rPr>
        <w:t xml:space="preserve"> </w:t>
      </w:r>
      <w:r w:rsidRPr="00357522">
        <w:t>commencing</w:t>
      </w:r>
      <w:r w:rsidRPr="00357522">
        <w:rPr>
          <w:spacing w:val="-7"/>
        </w:rPr>
        <w:t xml:space="preserve"> </w:t>
      </w:r>
      <w:r w:rsidRPr="00357522">
        <w:t>with</w:t>
      </w:r>
      <w:r w:rsidRPr="00357522">
        <w:rPr>
          <w:spacing w:val="-7"/>
        </w:rPr>
        <w:t xml:space="preserve"> </w:t>
      </w:r>
      <w:r w:rsidRPr="00357522">
        <w:t>an</w:t>
      </w:r>
      <w:r w:rsidRPr="00357522">
        <w:rPr>
          <w:spacing w:val="-7"/>
        </w:rPr>
        <w:t xml:space="preserve"> </w:t>
      </w:r>
      <w:r w:rsidRPr="00357522">
        <w:t>examination</w:t>
      </w:r>
      <w:r w:rsidRPr="00357522">
        <w:rPr>
          <w:spacing w:val="-7"/>
        </w:rPr>
        <w:t xml:space="preserve"> </w:t>
      </w:r>
      <w:r w:rsidRPr="00357522">
        <w:t>of</w:t>
      </w:r>
      <w:r w:rsidRPr="00357522">
        <w:rPr>
          <w:spacing w:val="-7"/>
        </w:rPr>
        <w:t xml:space="preserve"> </w:t>
      </w:r>
      <w:r w:rsidRPr="00357522">
        <w:t>scheme</w:t>
      </w:r>
      <w:r w:rsidRPr="00357522">
        <w:rPr>
          <w:spacing w:val="-8"/>
        </w:rPr>
        <w:t xml:space="preserve"> </w:t>
      </w:r>
      <w:r w:rsidRPr="00357522">
        <w:t>membership</w:t>
      </w:r>
      <w:r w:rsidRPr="00357522">
        <w:rPr>
          <w:spacing w:val="-7"/>
        </w:rPr>
        <w:t xml:space="preserve"> </w:t>
      </w:r>
      <w:r w:rsidRPr="00357522">
        <w:t>across</w:t>
      </w:r>
      <w:r w:rsidRPr="00357522">
        <w:rPr>
          <w:spacing w:val="-7"/>
        </w:rPr>
        <w:t xml:space="preserve"> </w:t>
      </w:r>
      <w:r w:rsidRPr="00357522">
        <w:t>a</w:t>
      </w:r>
      <w:r w:rsidRPr="00357522">
        <w:rPr>
          <w:spacing w:val="-9"/>
        </w:rPr>
        <w:t xml:space="preserve"> </w:t>
      </w:r>
      <w:r w:rsidRPr="00357522">
        <w:t xml:space="preserve">fixed period of time. Both operational and strategic roles were identified for participation in the research; </w:t>
      </w:r>
      <w:r w:rsidRPr="00357522">
        <w:t>they are of equal and critical importance, especially in relation to emerging phenomena, and the role of tacit knowledge in scheme adoption in relation to scale. The findings presented in this paper are drawn from current, lapsed and aspiring scheme member</w:t>
      </w:r>
      <w:r w:rsidRPr="00357522">
        <w:t>s, scheme administrators, local authority policy</w:t>
      </w:r>
      <w:r w:rsidRPr="00357522">
        <w:rPr>
          <w:spacing w:val="-13"/>
        </w:rPr>
        <w:t xml:space="preserve"> </w:t>
      </w:r>
      <w:r w:rsidRPr="00357522">
        <w:t>makers</w:t>
      </w:r>
      <w:r w:rsidRPr="00357522">
        <w:rPr>
          <w:spacing w:val="-11"/>
        </w:rPr>
        <w:t xml:space="preserve"> </w:t>
      </w:r>
      <w:r w:rsidRPr="00357522">
        <w:t>and</w:t>
      </w:r>
      <w:r w:rsidRPr="00357522">
        <w:rPr>
          <w:spacing w:val="-12"/>
        </w:rPr>
        <w:t xml:space="preserve"> </w:t>
      </w:r>
      <w:r w:rsidRPr="00357522">
        <w:t>other</w:t>
      </w:r>
      <w:r w:rsidRPr="00357522">
        <w:rPr>
          <w:spacing w:val="-11"/>
        </w:rPr>
        <w:t xml:space="preserve"> </w:t>
      </w:r>
      <w:r w:rsidRPr="00357522">
        <w:t>stakeholders.</w:t>
      </w:r>
      <w:r w:rsidRPr="00357522">
        <w:rPr>
          <w:spacing w:val="37"/>
        </w:rPr>
        <w:t xml:space="preserve"> </w:t>
      </w:r>
      <w:r w:rsidRPr="00357522">
        <w:t>This</w:t>
      </w:r>
      <w:r w:rsidRPr="00357522">
        <w:rPr>
          <w:spacing w:val="-2"/>
        </w:rPr>
        <w:t xml:space="preserve"> </w:t>
      </w:r>
      <w:r w:rsidRPr="00357522">
        <w:t>selection</w:t>
      </w:r>
      <w:r w:rsidRPr="00357522">
        <w:rPr>
          <w:spacing w:val="-12"/>
        </w:rPr>
        <w:t xml:space="preserve"> </w:t>
      </w:r>
      <w:r w:rsidRPr="00357522">
        <w:t>of</w:t>
      </w:r>
      <w:r w:rsidRPr="00357522">
        <w:rPr>
          <w:spacing w:val="-9"/>
        </w:rPr>
        <w:t xml:space="preserve"> </w:t>
      </w:r>
      <w:r w:rsidRPr="00357522">
        <w:t>current,</w:t>
      </w:r>
      <w:r w:rsidRPr="00357522">
        <w:rPr>
          <w:spacing w:val="-9"/>
        </w:rPr>
        <w:t xml:space="preserve"> </w:t>
      </w:r>
      <w:r w:rsidRPr="00357522">
        <w:t>lapsed</w:t>
      </w:r>
      <w:r w:rsidRPr="00357522">
        <w:rPr>
          <w:spacing w:val="-9"/>
        </w:rPr>
        <w:t xml:space="preserve"> </w:t>
      </w:r>
      <w:r w:rsidRPr="00357522">
        <w:t>and</w:t>
      </w:r>
      <w:r w:rsidRPr="00357522">
        <w:rPr>
          <w:spacing w:val="-12"/>
        </w:rPr>
        <w:t xml:space="preserve"> </w:t>
      </w:r>
      <w:r w:rsidRPr="00357522">
        <w:t>aspiring</w:t>
      </w:r>
      <w:r w:rsidRPr="00357522">
        <w:rPr>
          <w:spacing w:val="-10"/>
        </w:rPr>
        <w:t xml:space="preserve"> </w:t>
      </w:r>
      <w:r w:rsidRPr="00357522">
        <w:t>scheme</w:t>
      </w:r>
      <w:r w:rsidRPr="00357522">
        <w:rPr>
          <w:spacing w:val="-13"/>
        </w:rPr>
        <w:t xml:space="preserve"> </w:t>
      </w:r>
      <w:r w:rsidRPr="00357522">
        <w:t>members was</w:t>
      </w:r>
      <w:r w:rsidRPr="00357522">
        <w:rPr>
          <w:spacing w:val="-8"/>
        </w:rPr>
        <w:t xml:space="preserve"> </w:t>
      </w:r>
      <w:r w:rsidRPr="00357522">
        <w:t>driven</w:t>
      </w:r>
      <w:r w:rsidRPr="00357522">
        <w:rPr>
          <w:spacing w:val="-9"/>
        </w:rPr>
        <w:t xml:space="preserve"> </w:t>
      </w:r>
      <w:r w:rsidRPr="00357522">
        <w:t>by</w:t>
      </w:r>
      <w:r w:rsidRPr="00357522">
        <w:rPr>
          <w:spacing w:val="-8"/>
        </w:rPr>
        <w:t xml:space="preserve"> </w:t>
      </w:r>
      <w:r w:rsidRPr="00357522">
        <w:t>the</w:t>
      </w:r>
      <w:r w:rsidRPr="00357522">
        <w:rPr>
          <w:spacing w:val="-8"/>
        </w:rPr>
        <w:t xml:space="preserve"> </w:t>
      </w:r>
      <w:r w:rsidRPr="00357522">
        <w:t>need</w:t>
      </w:r>
      <w:r w:rsidRPr="00357522">
        <w:rPr>
          <w:spacing w:val="-9"/>
        </w:rPr>
        <w:t xml:space="preserve"> </w:t>
      </w:r>
      <w:r w:rsidRPr="00357522">
        <w:t>to</w:t>
      </w:r>
      <w:r w:rsidRPr="00357522">
        <w:rPr>
          <w:spacing w:val="-10"/>
        </w:rPr>
        <w:t xml:space="preserve"> </w:t>
      </w:r>
      <w:r w:rsidRPr="00357522">
        <w:t>comprehend</w:t>
      </w:r>
      <w:r w:rsidRPr="00357522">
        <w:rPr>
          <w:spacing w:val="-10"/>
        </w:rPr>
        <w:t xml:space="preserve"> </w:t>
      </w:r>
      <w:r w:rsidRPr="00357522">
        <w:t>‘same</w:t>
      </w:r>
      <w:r w:rsidRPr="00357522">
        <w:rPr>
          <w:spacing w:val="-8"/>
        </w:rPr>
        <w:t xml:space="preserve"> </w:t>
      </w:r>
      <w:r w:rsidRPr="00357522">
        <w:t>but</w:t>
      </w:r>
      <w:r w:rsidRPr="00357522">
        <w:rPr>
          <w:spacing w:val="-8"/>
        </w:rPr>
        <w:t xml:space="preserve"> </w:t>
      </w:r>
      <w:r w:rsidRPr="00357522">
        <w:t>different’</w:t>
      </w:r>
      <w:r w:rsidRPr="00357522">
        <w:rPr>
          <w:spacing w:val="-11"/>
        </w:rPr>
        <w:t xml:space="preserve"> </w:t>
      </w:r>
      <w:r w:rsidRPr="00357522">
        <w:t>operations</w:t>
      </w:r>
      <w:r w:rsidRPr="00357522">
        <w:rPr>
          <w:spacing w:val="-11"/>
        </w:rPr>
        <w:t xml:space="preserve"> </w:t>
      </w:r>
      <w:r w:rsidRPr="00357522">
        <w:t>in</w:t>
      </w:r>
      <w:r w:rsidRPr="00357522">
        <w:rPr>
          <w:spacing w:val="-10"/>
        </w:rPr>
        <w:t xml:space="preserve"> </w:t>
      </w:r>
      <w:r w:rsidRPr="00357522">
        <w:t>the</w:t>
      </w:r>
      <w:r w:rsidRPr="00357522">
        <w:rPr>
          <w:spacing w:val="-11"/>
        </w:rPr>
        <w:t xml:space="preserve"> </w:t>
      </w:r>
      <w:r w:rsidRPr="00357522">
        <w:t>freight</w:t>
      </w:r>
      <w:r w:rsidRPr="00357522">
        <w:rPr>
          <w:spacing w:val="-8"/>
        </w:rPr>
        <w:t xml:space="preserve"> </w:t>
      </w:r>
      <w:r w:rsidRPr="00357522">
        <w:t>sectors,</w:t>
      </w:r>
      <w:r w:rsidRPr="00357522">
        <w:rPr>
          <w:spacing w:val="-11"/>
        </w:rPr>
        <w:t xml:space="preserve"> </w:t>
      </w:r>
      <w:r w:rsidRPr="00357522">
        <w:t>whereby a comparative analysis allowed comprehension of to what extent advantage, if any, is gained in scheme membership. Initial data collection occurred via an autonomous self-administered questionnaire which was sent electronically to both current and p</w:t>
      </w:r>
      <w:r w:rsidRPr="00357522">
        <w:t>ast recognition scheme members, as well as to a wider population of freight transport operators (some of which were not a member of any scheme). To a certain extent the survey represents a repeat experiment of the Transport for London</w:t>
      </w:r>
      <w:r w:rsidRPr="00357522">
        <w:rPr>
          <w:spacing w:val="6"/>
        </w:rPr>
        <w:t xml:space="preserve"> </w:t>
      </w:r>
      <w:r w:rsidRPr="00357522">
        <w:t>Report:</w:t>
      </w:r>
      <w:r w:rsidRPr="00357522">
        <w:rPr>
          <w:spacing w:val="11"/>
        </w:rPr>
        <w:t xml:space="preserve"> </w:t>
      </w:r>
      <w:r w:rsidRPr="00357522">
        <w:t>Attitudes</w:t>
      </w:r>
      <w:r w:rsidRPr="00357522">
        <w:rPr>
          <w:spacing w:val="8"/>
        </w:rPr>
        <w:t xml:space="preserve"> </w:t>
      </w:r>
      <w:r w:rsidRPr="00357522">
        <w:t>to</w:t>
      </w:r>
      <w:r w:rsidRPr="00357522">
        <w:rPr>
          <w:spacing w:val="11"/>
        </w:rPr>
        <w:t xml:space="preserve"> </w:t>
      </w:r>
      <w:r w:rsidRPr="00357522">
        <w:t>TfL’s</w:t>
      </w:r>
      <w:r w:rsidRPr="00357522">
        <w:rPr>
          <w:spacing w:val="10"/>
        </w:rPr>
        <w:t xml:space="preserve"> </w:t>
      </w:r>
      <w:r w:rsidRPr="00357522">
        <w:t>Freight</w:t>
      </w:r>
      <w:r w:rsidRPr="00357522">
        <w:rPr>
          <w:spacing w:val="10"/>
        </w:rPr>
        <w:t xml:space="preserve"> </w:t>
      </w:r>
      <w:r w:rsidRPr="00357522">
        <w:t>Operator</w:t>
      </w:r>
      <w:r w:rsidRPr="00357522">
        <w:rPr>
          <w:spacing w:val="10"/>
        </w:rPr>
        <w:t xml:space="preserve"> </w:t>
      </w:r>
      <w:r w:rsidRPr="00357522">
        <w:t>Recognition</w:t>
      </w:r>
      <w:r w:rsidRPr="00357522">
        <w:rPr>
          <w:spacing w:val="10"/>
        </w:rPr>
        <w:t xml:space="preserve"> </w:t>
      </w:r>
      <w:r w:rsidRPr="00357522">
        <w:t>Scheme,</w:t>
      </w:r>
      <w:r w:rsidRPr="00357522">
        <w:rPr>
          <w:spacing w:val="10"/>
        </w:rPr>
        <w:t xml:space="preserve"> </w:t>
      </w:r>
      <w:r w:rsidRPr="00357522">
        <w:t>however</w:t>
      </w:r>
      <w:r w:rsidRPr="00357522">
        <w:rPr>
          <w:spacing w:val="10"/>
        </w:rPr>
        <w:t xml:space="preserve"> </w:t>
      </w:r>
      <w:r w:rsidRPr="00357522">
        <w:t>the</w:t>
      </w:r>
      <w:r w:rsidRPr="00357522">
        <w:rPr>
          <w:spacing w:val="7"/>
        </w:rPr>
        <w:t xml:space="preserve"> </w:t>
      </w:r>
      <w:r w:rsidRPr="00357522">
        <w:t>original</w:t>
      </w:r>
      <w:r>
        <w:t xml:space="preserve"> </w:t>
      </w:r>
      <w:r w:rsidRPr="00357522">
        <w:t>questions posed were de-constructed and reposed to give greater contextual and contemporary relevance to the respondents, to capture both views on historical and future attit</w:t>
      </w:r>
      <w:r w:rsidRPr="00357522">
        <w:t>udes (</w:t>
      </w:r>
      <w:proofErr w:type="spellStart"/>
      <w:r w:rsidRPr="00357522">
        <w:t>Piecyk</w:t>
      </w:r>
      <w:proofErr w:type="spellEnd"/>
      <w:r w:rsidRPr="00357522">
        <w:t xml:space="preserve"> and McKinnon, 2010). Further questions were also added with respect to exploring the role of such schemes in facilitating Transport TQM; operator views on the perceived benefits and disadvantages of freight fleet operator schemes; and question</w:t>
      </w:r>
      <w:r w:rsidRPr="00357522">
        <w:t>s to help determine potential areas for scheme improvements and recommendations for increasing uptake.</w:t>
      </w:r>
    </w:p>
    <w:p w:rsidR="00357522" w:rsidRPr="00357522" w:rsidRDefault="00357522" w:rsidP="00357522">
      <w:pPr>
        <w:pStyle w:val="BodyText"/>
        <w:ind w:left="0"/>
        <w:jc w:val="both"/>
      </w:pPr>
    </w:p>
    <w:p w:rsidR="00F36AD3" w:rsidRPr="00357522" w:rsidRDefault="00357522" w:rsidP="00357522">
      <w:pPr>
        <w:pStyle w:val="BodyText"/>
        <w:ind w:left="0"/>
        <w:jc w:val="both"/>
      </w:pPr>
      <w:r w:rsidRPr="00357522">
        <w:t xml:space="preserve">The semi-structured interviews were based on </w:t>
      </w:r>
      <w:r w:rsidRPr="00357522">
        <w:rPr>
          <w:i/>
        </w:rPr>
        <w:t xml:space="preserve">a priori </w:t>
      </w:r>
      <w:r w:rsidRPr="00357522">
        <w:t>themes extracted from academic and grey literatures and was used to supplement the quantitative survey data, to allow recording of particular occurrences, phenomena and underlying constructs (</w:t>
      </w:r>
      <w:proofErr w:type="spellStart"/>
      <w:r w:rsidRPr="00357522">
        <w:t>Jonsen</w:t>
      </w:r>
      <w:proofErr w:type="spellEnd"/>
      <w:r w:rsidRPr="00357522">
        <w:t xml:space="preserve"> and </w:t>
      </w:r>
      <w:proofErr w:type="spellStart"/>
      <w:r w:rsidRPr="00357522">
        <w:t>Jehn</w:t>
      </w:r>
      <w:proofErr w:type="spellEnd"/>
      <w:r w:rsidRPr="00357522">
        <w:t>, 2009) in relation to the different schemes. The</w:t>
      </w:r>
      <w:r w:rsidRPr="00357522">
        <w:t xml:space="preserve"> semi-structured interview approach, is an essential source of information gathering for rich, textual data in case studies (Yin, 2014; Silverman, 2004), in conjunction with an interview</w:t>
      </w:r>
      <w:r w:rsidRPr="00357522">
        <w:rPr>
          <w:spacing w:val="-7"/>
        </w:rPr>
        <w:t xml:space="preserve"> </w:t>
      </w:r>
      <w:r w:rsidRPr="00357522">
        <w:t>guide</w:t>
      </w:r>
      <w:r w:rsidRPr="00357522">
        <w:rPr>
          <w:spacing w:val="-7"/>
        </w:rPr>
        <w:t xml:space="preserve"> </w:t>
      </w:r>
      <w:r w:rsidRPr="00357522">
        <w:t>informed</w:t>
      </w:r>
      <w:r w:rsidRPr="00357522">
        <w:rPr>
          <w:spacing w:val="-8"/>
        </w:rPr>
        <w:t xml:space="preserve"> </w:t>
      </w:r>
      <w:r w:rsidRPr="00357522">
        <w:t>by</w:t>
      </w:r>
      <w:r w:rsidRPr="00357522">
        <w:rPr>
          <w:spacing w:val="-7"/>
        </w:rPr>
        <w:t xml:space="preserve"> </w:t>
      </w:r>
      <w:r w:rsidRPr="00357522">
        <w:t>our</w:t>
      </w:r>
      <w:r w:rsidRPr="00357522">
        <w:rPr>
          <w:spacing w:val="-8"/>
        </w:rPr>
        <w:t xml:space="preserve"> </w:t>
      </w:r>
      <w:r w:rsidRPr="00357522">
        <w:t>literature</w:t>
      </w:r>
      <w:r w:rsidRPr="00357522">
        <w:rPr>
          <w:spacing w:val="-8"/>
        </w:rPr>
        <w:t xml:space="preserve"> </w:t>
      </w:r>
      <w:r w:rsidRPr="00357522">
        <w:t>research,</w:t>
      </w:r>
      <w:r w:rsidRPr="00357522">
        <w:rPr>
          <w:spacing w:val="-9"/>
        </w:rPr>
        <w:t xml:space="preserve"> </w:t>
      </w:r>
      <w:r w:rsidRPr="00357522">
        <w:t>it</w:t>
      </w:r>
      <w:r w:rsidRPr="00357522">
        <w:rPr>
          <w:spacing w:val="-10"/>
        </w:rPr>
        <w:t xml:space="preserve"> </w:t>
      </w:r>
      <w:r w:rsidRPr="00357522">
        <w:t>enabled</w:t>
      </w:r>
      <w:r w:rsidRPr="00357522">
        <w:rPr>
          <w:spacing w:val="-9"/>
        </w:rPr>
        <w:t xml:space="preserve"> </w:t>
      </w:r>
      <w:r w:rsidRPr="00357522">
        <w:t>our</w:t>
      </w:r>
      <w:r w:rsidRPr="00357522">
        <w:rPr>
          <w:spacing w:val="-8"/>
        </w:rPr>
        <w:t xml:space="preserve"> </w:t>
      </w:r>
      <w:r w:rsidRPr="00357522">
        <w:t>research</w:t>
      </w:r>
      <w:r w:rsidRPr="00357522">
        <w:rPr>
          <w:spacing w:val="-8"/>
        </w:rPr>
        <w:t xml:space="preserve"> </w:t>
      </w:r>
      <w:r w:rsidRPr="00357522">
        <w:t>to</w:t>
      </w:r>
      <w:r w:rsidRPr="00357522">
        <w:rPr>
          <w:spacing w:val="-7"/>
        </w:rPr>
        <w:t xml:space="preserve"> </w:t>
      </w:r>
      <w:r w:rsidRPr="00357522">
        <w:t>explore</w:t>
      </w:r>
      <w:r w:rsidRPr="00357522">
        <w:rPr>
          <w:spacing w:val="-8"/>
        </w:rPr>
        <w:t xml:space="preserve"> </w:t>
      </w:r>
      <w:r w:rsidRPr="00357522">
        <w:t>relevant</w:t>
      </w:r>
      <w:r w:rsidRPr="00357522">
        <w:rPr>
          <w:spacing w:val="-10"/>
        </w:rPr>
        <w:t xml:space="preserve"> </w:t>
      </w:r>
      <w:r w:rsidRPr="00357522">
        <w:t>topics whilst not conforming to a rigid set of questions (</w:t>
      </w:r>
      <w:proofErr w:type="spellStart"/>
      <w:r w:rsidRPr="00357522">
        <w:t>Easterby</w:t>
      </w:r>
      <w:proofErr w:type="spellEnd"/>
      <w:r w:rsidRPr="00357522">
        <w:t>-Smith, et al.,</w:t>
      </w:r>
      <w:r w:rsidRPr="00357522">
        <w:rPr>
          <w:spacing w:val="-15"/>
        </w:rPr>
        <w:t xml:space="preserve"> </w:t>
      </w:r>
      <w:r w:rsidRPr="00357522">
        <w:t>2015).</w:t>
      </w:r>
    </w:p>
    <w:p w:rsidR="00F36AD3" w:rsidRDefault="00357522" w:rsidP="00357522">
      <w:pPr>
        <w:pStyle w:val="BodyText"/>
        <w:ind w:left="0"/>
        <w:jc w:val="both"/>
      </w:pPr>
      <w:r w:rsidRPr="00357522">
        <w:lastRenderedPageBreak/>
        <w:t>Given our analysis, we reasonably presuppose that compliance schemes are more valuable tools as a locus</w:t>
      </w:r>
      <w:r w:rsidRPr="00357522">
        <w:rPr>
          <w:spacing w:val="-9"/>
        </w:rPr>
        <w:t xml:space="preserve"> </w:t>
      </w:r>
      <w:r w:rsidRPr="00357522">
        <w:t>across</w:t>
      </w:r>
      <w:r w:rsidRPr="00357522">
        <w:rPr>
          <w:spacing w:val="-9"/>
        </w:rPr>
        <w:t xml:space="preserve"> </w:t>
      </w:r>
      <w:r w:rsidRPr="00357522">
        <w:t>sustainability</w:t>
      </w:r>
      <w:r w:rsidRPr="00357522">
        <w:rPr>
          <w:spacing w:val="-10"/>
        </w:rPr>
        <w:t xml:space="preserve"> </w:t>
      </w:r>
      <w:r w:rsidRPr="00357522">
        <w:t>agendas</w:t>
      </w:r>
      <w:r w:rsidRPr="00357522">
        <w:rPr>
          <w:spacing w:val="-9"/>
        </w:rPr>
        <w:t xml:space="preserve"> </w:t>
      </w:r>
      <w:r w:rsidRPr="00357522">
        <w:t>and</w:t>
      </w:r>
      <w:r w:rsidRPr="00357522">
        <w:rPr>
          <w:spacing w:val="-10"/>
        </w:rPr>
        <w:t xml:space="preserve"> </w:t>
      </w:r>
      <w:r w:rsidRPr="00357522">
        <w:t>delivered</w:t>
      </w:r>
      <w:r w:rsidRPr="00357522">
        <w:rPr>
          <w:spacing w:val="-11"/>
        </w:rPr>
        <w:t xml:space="preserve"> </w:t>
      </w:r>
      <w:r w:rsidRPr="00357522">
        <w:t>in</w:t>
      </w:r>
      <w:r w:rsidRPr="00357522">
        <w:rPr>
          <w:spacing w:val="-10"/>
        </w:rPr>
        <w:t xml:space="preserve"> </w:t>
      </w:r>
      <w:r w:rsidRPr="00357522">
        <w:t>partnership</w:t>
      </w:r>
      <w:r w:rsidRPr="00357522">
        <w:rPr>
          <w:spacing w:val="-10"/>
        </w:rPr>
        <w:t xml:space="preserve"> </w:t>
      </w:r>
      <w:r w:rsidRPr="00357522">
        <w:t>for</w:t>
      </w:r>
      <w:r w:rsidRPr="00357522">
        <w:rPr>
          <w:spacing w:val="-11"/>
        </w:rPr>
        <w:t xml:space="preserve"> </w:t>
      </w:r>
      <w:r w:rsidRPr="00357522">
        <w:t>wider</w:t>
      </w:r>
      <w:r w:rsidRPr="00357522">
        <w:rPr>
          <w:spacing w:val="-9"/>
        </w:rPr>
        <w:t xml:space="preserve"> </w:t>
      </w:r>
      <w:r w:rsidRPr="00357522">
        <w:t>stakeholder</w:t>
      </w:r>
      <w:r w:rsidRPr="00357522">
        <w:rPr>
          <w:spacing w:val="-9"/>
        </w:rPr>
        <w:t xml:space="preserve"> </w:t>
      </w:r>
      <w:r w:rsidRPr="00357522">
        <w:t>good;</w:t>
      </w:r>
      <w:r w:rsidRPr="00357522">
        <w:rPr>
          <w:spacing w:val="-10"/>
        </w:rPr>
        <w:t xml:space="preserve"> </w:t>
      </w:r>
      <w:r w:rsidRPr="00357522">
        <w:t>to</w:t>
      </w:r>
      <w:r w:rsidRPr="00357522">
        <w:rPr>
          <w:spacing w:val="-8"/>
        </w:rPr>
        <w:t xml:space="preserve"> </w:t>
      </w:r>
      <w:r w:rsidRPr="00357522">
        <w:t>proffer for, rather than profit from. This further positions the importance and potential benefits of Transport Total Quality Management, based upon the preponderance of our evidence as a theoretical position r</w:t>
      </w:r>
      <w:r w:rsidRPr="00357522">
        <w:t>equiring</w:t>
      </w:r>
      <w:r w:rsidRPr="00357522">
        <w:rPr>
          <w:spacing w:val="-14"/>
        </w:rPr>
        <w:t xml:space="preserve"> </w:t>
      </w:r>
      <w:r w:rsidRPr="00357522">
        <w:t>further</w:t>
      </w:r>
      <w:r w:rsidRPr="00357522">
        <w:rPr>
          <w:spacing w:val="-13"/>
        </w:rPr>
        <w:t xml:space="preserve"> </w:t>
      </w:r>
      <w:r w:rsidRPr="00357522">
        <w:t>research.</w:t>
      </w:r>
      <w:r w:rsidRPr="00357522">
        <w:rPr>
          <w:spacing w:val="18"/>
        </w:rPr>
        <w:t xml:space="preserve"> </w:t>
      </w:r>
      <w:r w:rsidRPr="00357522">
        <w:t>TTQM</w:t>
      </w:r>
      <w:r w:rsidRPr="00357522">
        <w:rPr>
          <w:spacing w:val="-13"/>
        </w:rPr>
        <w:t xml:space="preserve"> </w:t>
      </w:r>
      <w:r w:rsidRPr="00357522">
        <w:t>involves</w:t>
      </w:r>
      <w:r w:rsidRPr="00357522">
        <w:rPr>
          <w:spacing w:val="-15"/>
        </w:rPr>
        <w:t xml:space="preserve"> </w:t>
      </w:r>
      <w:r w:rsidRPr="00357522">
        <w:t>the</w:t>
      </w:r>
      <w:r w:rsidRPr="00357522">
        <w:rPr>
          <w:spacing w:val="-15"/>
        </w:rPr>
        <w:t xml:space="preserve"> </w:t>
      </w:r>
      <w:r w:rsidRPr="00357522">
        <w:t>commoditisation</w:t>
      </w:r>
      <w:r w:rsidRPr="00357522">
        <w:rPr>
          <w:spacing w:val="-16"/>
        </w:rPr>
        <w:t xml:space="preserve"> </w:t>
      </w:r>
      <w:r w:rsidRPr="00357522">
        <w:t>of</w:t>
      </w:r>
      <w:r w:rsidRPr="00357522">
        <w:rPr>
          <w:spacing w:val="-13"/>
        </w:rPr>
        <w:t xml:space="preserve"> </w:t>
      </w:r>
      <w:r w:rsidRPr="00357522">
        <w:t>both</w:t>
      </w:r>
      <w:r w:rsidRPr="00357522">
        <w:rPr>
          <w:spacing w:val="-15"/>
        </w:rPr>
        <w:t xml:space="preserve"> </w:t>
      </w:r>
      <w:r w:rsidRPr="00357522">
        <w:t>autonomously</w:t>
      </w:r>
      <w:r w:rsidRPr="00357522">
        <w:rPr>
          <w:spacing w:val="-13"/>
        </w:rPr>
        <w:t xml:space="preserve"> </w:t>
      </w:r>
      <w:r w:rsidRPr="00357522">
        <w:t>generated</w:t>
      </w:r>
      <w:r w:rsidRPr="00357522">
        <w:rPr>
          <w:spacing w:val="-13"/>
        </w:rPr>
        <w:t xml:space="preserve"> </w:t>
      </w:r>
      <w:r w:rsidRPr="00357522">
        <w:t>data and implicit organisational skills to the overall benefit of customers, be they private or as regulatory bodies. TTQM is not negatively influenced by scale, bu</w:t>
      </w:r>
      <w:r w:rsidRPr="00357522">
        <w:t>t improved upon by skill recognition and data optimization. Additionally, our research findings reveal that a 'one size fits all's policy’ of one scheme works against innovation and continuous improvement. Industry interests are not practically addressed a</w:t>
      </w:r>
      <w:r w:rsidRPr="00357522">
        <w:t>t both extremes of scale, here, a homogeneous approach does little more than deliver imitation rather than the innovative approaches required to improve customer satisfaction. TTQM becomes more valuable in relation to scale, when framed within structured c</w:t>
      </w:r>
      <w:r w:rsidRPr="00357522">
        <w:t>ontinuous improvements, responding to internal and external customer feedback in a quality management system.</w:t>
      </w:r>
      <w:r w:rsidRPr="00357522">
        <w:rPr>
          <w:spacing w:val="32"/>
        </w:rPr>
        <w:t xml:space="preserve"> </w:t>
      </w:r>
      <w:r w:rsidRPr="00357522">
        <w:t>Our</w:t>
      </w:r>
      <w:r w:rsidRPr="00357522">
        <w:rPr>
          <w:spacing w:val="-9"/>
        </w:rPr>
        <w:t xml:space="preserve"> </w:t>
      </w:r>
      <w:r w:rsidRPr="00357522">
        <w:t>research</w:t>
      </w:r>
      <w:r w:rsidRPr="00357522">
        <w:rPr>
          <w:spacing w:val="-8"/>
        </w:rPr>
        <w:t xml:space="preserve"> </w:t>
      </w:r>
      <w:r w:rsidRPr="00357522">
        <w:t>therefore</w:t>
      </w:r>
      <w:r w:rsidRPr="00357522">
        <w:rPr>
          <w:spacing w:val="-8"/>
        </w:rPr>
        <w:t xml:space="preserve"> </w:t>
      </w:r>
      <w:r w:rsidRPr="00357522">
        <w:t>suggests</w:t>
      </w:r>
      <w:r w:rsidRPr="00357522">
        <w:rPr>
          <w:spacing w:val="-8"/>
        </w:rPr>
        <w:t xml:space="preserve"> </w:t>
      </w:r>
      <w:r w:rsidRPr="00357522">
        <w:t>that</w:t>
      </w:r>
      <w:r w:rsidRPr="00357522">
        <w:rPr>
          <w:spacing w:val="-8"/>
        </w:rPr>
        <w:t xml:space="preserve"> </w:t>
      </w:r>
      <w:r w:rsidRPr="00357522">
        <w:t>TTQM</w:t>
      </w:r>
      <w:r w:rsidRPr="00357522">
        <w:rPr>
          <w:spacing w:val="-7"/>
        </w:rPr>
        <w:t xml:space="preserve"> </w:t>
      </w:r>
      <w:r w:rsidRPr="00357522">
        <w:t>as</w:t>
      </w:r>
      <w:r w:rsidRPr="00357522">
        <w:rPr>
          <w:spacing w:val="-10"/>
        </w:rPr>
        <w:t xml:space="preserve"> </w:t>
      </w:r>
      <w:r w:rsidRPr="00357522">
        <w:t>a</w:t>
      </w:r>
      <w:r w:rsidRPr="00357522">
        <w:rPr>
          <w:spacing w:val="-8"/>
        </w:rPr>
        <w:t xml:space="preserve"> </w:t>
      </w:r>
      <w:r w:rsidRPr="00357522">
        <w:t>construct</w:t>
      </w:r>
      <w:r w:rsidRPr="00357522">
        <w:rPr>
          <w:spacing w:val="-8"/>
        </w:rPr>
        <w:t xml:space="preserve"> </w:t>
      </w:r>
      <w:r w:rsidRPr="00357522">
        <w:t>and</w:t>
      </w:r>
      <w:r w:rsidRPr="00357522">
        <w:rPr>
          <w:spacing w:val="-9"/>
        </w:rPr>
        <w:t xml:space="preserve"> </w:t>
      </w:r>
      <w:r w:rsidRPr="00357522">
        <w:t>theory</w:t>
      </w:r>
      <w:r w:rsidRPr="00357522">
        <w:rPr>
          <w:spacing w:val="-7"/>
        </w:rPr>
        <w:t xml:space="preserve"> </w:t>
      </w:r>
      <w:r w:rsidRPr="00357522">
        <w:t>development,</w:t>
      </w:r>
      <w:r w:rsidRPr="00357522">
        <w:rPr>
          <w:spacing w:val="-8"/>
        </w:rPr>
        <w:t xml:space="preserve"> </w:t>
      </w:r>
      <w:r w:rsidRPr="00357522">
        <w:t>depends upon</w:t>
      </w:r>
      <w:r w:rsidRPr="00357522">
        <w:rPr>
          <w:spacing w:val="-11"/>
        </w:rPr>
        <w:t xml:space="preserve"> </w:t>
      </w:r>
      <w:r w:rsidRPr="00357522">
        <w:t>all</w:t>
      </w:r>
      <w:r w:rsidRPr="00357522">
        <w:rPr>
          <w:spacing w:val="-11"/>
        </w:rPr>
        <w:t xml:space="preserve"> </w:t>
      </w:r>
      <w:r w:rsidRPr="00357522">
        <w:t>colleagues</w:t>
      </w:r>
      <w:r w:rsidRPr="00357522">
        <w:rPr>
          <w:spacing w:val="-10"/>
        </w:rPr>
        <w:t xml:space="preserve"> </w:t>
      </w:r>
      <w:r w:rsidRPr="00357522">
        <w:t>in</w:t>
      </w:r>
      <w:r w:rsidRPr="00357522">
        <w:rPr>
          <w:spacing w:val="-11"/>
        </w:rPr>
        <w:t xml:space="preserve"> </w:t>
      </w:r>
      <w:r w:rsidRPr="00357522">
        <w:t>a</w:t>
      </w:r>
      <w:r w:rsidRPr="00357522">
        <w:rPr>
          <w:spacing w:val="-13"/>
        </w:rPr>
        <w:t xml:space="preserve"> </w:t>
      </w:r>
      <w:r w:rsidRPr="00357522">
        <w:t>transport</w:t>
      </w:r>
      <w:r w:rsidRPr="00357522">
        <w:rPr>
          <w:spacing w:val="-12"/>
        </w:rPr>
        <w:t xml:space="preserve"> </w:t>
      </w:r>
      <w:r w:rsidRPr="00357522">
        <w:t>operational</w:t>
      </w:r>
      <w:r w:rsidRPr="00357522">
        <w:rPr>
          <w:spacing w:val="-11"/>
        </w:rPr>
        <w:t xml:space="preserve"> </w:t>
      </w:r>
      <w:r w:rsidRPr="00357522">
        <w:t>agency,</w:t>
      </w:r>
      <w:r w:rsidRPr="00357522">
        <w:rPr>
          <w:spacing w:val="-13"/>
        </w:rPr>
        <w:t xml:space="preserve"> </w:t>
      </w:r>
      <w:r w:rsidRPr="00357522">
        <w:t>whether</w:t>
      </w:r>
      <w:r w:rsidRPr="00357522">
        <w:rPr>
          <w:spacing w:val="-10"/>
        </w:rPr>
        <w:t xml:space="preserve"> </w:t>
      </w:r>
      <w:r w:rsidRPr="00357522">
        <w:t>publicly</w:t>
      </w:r>
      <w:r w:rsidRPr="00357522">
        <w:rPr>
          <w:spacing w:val="-10"/>
        </w:rPr>
        <w:t xml:space="preserve"> </w:t>
      </w:r>
      <w:r w:rsidRPr="00357522">
        <w:t>or</w:t>
      </w:r>
      <w:r w:rsidRPr="00357522">
        <w:rPr>
          <w:spacing w:val="-13"/>
        </w:rPr>
        <w:t xml:space="preserve"> </w:t>
      </w:r>
      <w:r w:rsidRPr="00357522">
        <w:t>privately</w:t>
      </w:r>
      <w:r w:rsidRPr="00357522">
        <w:rPr>
          <w:spacing w:val="-10"/>
        </w:rPr>
        <w:t xml:space="preserve"> </w:t>
      </w:r>
      <w:r w:rsidRPr="00357522">
        <w:t>owned,</w:t>
      </w:r>
      <w:r w:rsidRPr="00357522">
        <w:rPr>
          <w:spacing w:val="-11"/>
        </w:rPr>
        <w:t xml:space="preserve"> </w:t>
      </w:r>
      <w:r w:rsidRPr="00357522">
        <w:t>to</w:t>
      </w:r>
      <w:r w:rsidRPr="00357522">
        <w:rPr>
          <w:spacing w:val="-9"/>
        </w:rPr>
        <w:t xml:space="preserve"> </w:t>
      </w:r>
      <w:r w:rsidRPr="00357522">
        <w:t>advance incrementally</w:t>
      </w:r>
      <w:r w:rsidRPr="00357522">
        <w:rPr>
          <w:spacing w:val="-13"/>
        </w:rPr>
        <w:t xml:space="preserve"> </w:t>
      </w:r>
      <w:r w:rsidRPr="00357522">
        <w:t>and</w:t>
      </w:r>
      <w:r w:rsidRPr="00357522">
        <w:rPr>
          <w:spacing w:val="-15"/>
        </w:rPr>
        <w:t xml:space="preserve"> </w:t>
      </w:r>
      <w:r w:rsidRPr="00357522">
        <w:t>sustainably,</w:t>
      </w:r>
      <w:r w:rsidRPr="00357522">
        <w:rPr>
          <w:spacing w:val="-13"/>
        </w:rPr>
        <w:t xml:space="preserve"> </w:t>
      </w:r>
      <w:r w:rsidRPr="00357522">
        <w:t>with</w:t>
      </w:r>
      <w:r w:rsidRPr="00357522">
        <w:rPr>
          <w:spacing w:val="-12"/>
        </w:rPr>
        <w:t xml:space="preserve"> </w:t>
      </w:r>
      <w:r w:rsidRPr="00357522">
        <w:t>due</w:t>
      </w:r>
      <w:r w:rsidRPr="00357522">
        <w:rPr>
          <w:spacing w:val="-13"/>
        </w:rPr>
        <w:t xml:space="preserve"> </w:t>
      </w:r>
      <w:r w:rsidRPr="00357522">
        <w:t>consideration</w:t>
      </w:r>
      <w:r w:rsidRPr="00357522">
        <w:rPr>
          <w:spacing w:val="-17"/>
        </w:rPr>
        <w:t xml:space="preserve"> </w:t>
      </w:r>
      <w:r w:rsidRPr="00357522">
        <w:t>of</w:t>
      </w:r>
      <w:r w:rsidRPr="00357522">
        <w:rPr>
          <w:spacing w:val="-12"/>
        </w:rPr>
        <w:t xml:space="preserve"> </w:t>
      </w:r>
      <w:r w:rsidRPr="00357522">
        <w:t>all</w:t>
      </w:r>
      <w:r w:rsidRPr="00357522">
        <w:rPr>
          <w:spacing w:val="-15"/>
        </w:rPr>
        <w:t xml:space="preserve"> </w:t>
      </w:r>
      <w:r w:rsidRPr="00357522">
        <w:t>stakeholders</w:t>
      </w:r>
      <w:r w:rsidRPr="00357522">
        <w:rPr>
          <w:spacing w:val="-13"/>
        </w:rPr>
        <w:t xml:space="preserve"> </w:t>
      </w:r>
      <w:r w:rsidRPr="00357522">
        <w:t>via</w:t>
      </w:r>
      <w:r w:rsidRPr="00357522">
        <w:rPr>
          <w:spacing w:val="-12"/>
        </w:rPr>
        <w:t xml:space="preserve"> </w:t>
      </w:r>
      <w:r w:rsidRPr="00357522">
        <w:t>a</w:t>
      </w:r>
      <w:r w:rsidRPr="00357522">
        <w:rPr>
          <w:spacing w:val="-14"/>
        </w:rPr>
        <w:t xml:space="preserve"> </w:t>
      </w:r>
      <w:r w:rsidRPr="00357522">
        <w:t>series</w:t>
      </w:r>
      <w:r w:rsidRPr="00357522">
        <w:rPr>
          <w:spacing w:val="-13"/>
        </w:rPr>
        <w:t xml:space="preserve"> </w:t>
      </w:r>
      <w:r w:rsidRPr="00357522">
        <w:t>of</w:t>
      </w:r>
      <w:r w:rsidRPr="00357522">
        <w:rPr>
          <w:spacing w:val="-14"/>
        </w:rPr>
        <w:t xml:space="preserve"> </w:t>
      </w:r>
      <w:r w:rsidRPr="00357522">
        <w:t>measurements and</w:t>
      </w:r>
      <w:r w:rsidRPr="00357522">
        <w:rPr>
          <w:spacing w:val="-2"/>
        </w:rPr>
        <w:t xml:space="preserve"> </w:t>
      </w:r>
      <w:r w:rsidRPr="00357522">
        <w:t>initiatives.</w:t>
      </w:r>
    </w:p>
    <w:p w:rsidR="00357522" w:rsidRPr="00357522" w:rsidRDefault="00357522" w:rsidP="00357522">
      <w:pPr>
        <w:pStyle w:val="BodyText"/>
        <w:ind w:left="0"/>
        <w:jc w:val="both"/>
      </w:pPr>
    </w:p>
    <w:p w:rsidR="00F36AD3" w:rsidRPr="00357522" w:rsidRDefault="00357522" w:rsidP="00357522">
      <w:pPr>
        <w:pStyle w:val="Heading1"/>
        <w:spacing w:line="240" w:lineRule="auto"/>
        <w:ind w:left="0"/>
        <w:rPr>
          <w:sz w:val="22"/>
          <w:szCs w:val="22"/>
          <w:u w:val="single"/>
        </w:rPr>
      </w:pPr>
      <w:r w:rsidRPr="00357522">
        <w:rPr>
          <w:sz w:val="22"/>
          <w:szCs w:val="22"/>
          <w:u w:val="single"/>
        </w:rPr>
        <w:t>CONCLUSIONS</w:t>
      </w:r>
    </w:p>
    <w:p w:rsidR="00F36AD3" w:rsidRPr="00357522" w:rsidRDefault="00357522" w:rsidP="00357522">
      <w:pPr>
        <w:pStyle w:val="BodyText"/>
        <w:ind w:left="0"/>
        <w:jc w:val="both"/>
      </w:pPr>
      <w:r w:rsidRPr="00357522">
        <w:t>There is competition for members across these two schemes. Although there is</w:t>
      </w:r>
      <w:r w:rsidRPr="00357522">
        <w:t xml:space="preserve"> no limit of number of schemes an operator can join, there is often an economic limit set by organisations regarding affordability of membership of multiple schemes and potential conflicting levels of accreditation etc.</w:t>
      </w:r>
    </w:p>
    <w:p w:rsidR="00F36AD3" w:rsidRPr="00357522" w:rsidRDefault="00F36AD3" w:rsidP="00357522">
      <w:pPr>
        <w:pStyle w:val="BodyText"/>
        <w:ind w:left="0"/>
      </w:pPr>
    </w:p>
    <w:p w:rsidR="00F36AD3" w:rsidRPr="00357522" w:rsidRDefault="00357522" w:rsidP="00357522">
      <w:pPr>
        <w:pStyle w:val="BodyText"/>
        <w:ind w:left="0"/>
        <w:jc w:val="both"/>
      </w:pPr>
      <w:r w:rsidRPr="00357522">
        <w:t>The different EU schemes aforementi</w:t>
      </w:r>
      <w:r w:rsidRPr="00357522">
        <w:t>oned have been fixed term, time defined and financially determined projects. However, these incremental steps forward in the evolution of transport, under the auspices and sponsorship of the European Commission can arguably be positioned within TQM itself</w:t>
      </w:r>
      <w:r w:rsidRPr="00357522">
        <w:rPr>
          <w:spacing w:val="-13"/>
        </w:rPr>
        <w:t xml:space="preserve"> </w:t>
      </w:r>
      <w:r w:rsidRPr="00357522">
        <w:t>based</w:t>
      </w:r>
      <w:r w:rsidRPr="00357522">
        <w:rPr>
          <w:spacing w:val="-13"/>
        </w:rPr>
        <w:t xml:space="preserve"> </w:t>
      </w:r>
      <w:r w:rsidRPr="00357522">
        <w:t>upon</w:t>
      </w:r>
      <w:r w:rsidRPr="00357522">
        <w:rPr>
          <w:spacing w:val="-16"/>
        </w:rPr>
        <w:t xml:space="preserve"> </w:t>
      </w:r>
      <w:r w:rsidRPr="00357522">
        <w:t>a</w:t>
      </w:r>
      <w:r w:rsidRPr="00357522">
        <w:rPr>
          <w:spacing w:val="-13"/>
        </w:rPr>
        <w:t xml:space="preserve"> </w:t>
      </w:r>
      <w:r w:rsidRPr="00357522">
        <w:t>cumulative</w:t>
      </w:r>
      <w:r w:rsidRPr="00357522">
        <w:rPr>
          <w:spacing w:val="-14"/>
        </w:rPr>
        <w:t xml:space="preserve"> </w:t>
      </w:r>
      <w:r w:rsidRPr="00357522">
        <w:t>set</w:t>
      </w:r>
      <w:r w:rsidRPr="00357522">
        <w:rPr>
          <w:spacing w:val="-14"/>
        </w:rPr>
        <w:t xml:space="preserve"> </w:t>
      </w:r>
      <w:r w:rsidRPr="00357522">
        <w:t>of</w:t>
      </w:r>
      <w:r w:rsidRPr="00357522">
        <w:rPr>
          <w:spacing w:val="-16"/>
        </w:rPr>
        <w:t xml:space="preserve"> </w:t>
      </w:r>
      <w:r w:rsidRPr="00357522">
        <w:t>improvement</w:t>
      </w:r>
      <w:r w:rsidRPr="00357522">
        <w:rPr>
          <w:spacing w:val="-17"/>
        </w:rPr>
        <w:t xml:space="preserve"> </w:t>
      </w:r>
      <w:r w:rsidRPr="00357522">
        <w:t>measures.</w:t>
      </w:r>
      <w:r w:rsidRPr="00357522">
        <w:rPr>
          <w:spacing w:val="35"/>
        </w:rPr>
        <w:t xml:space="preserve"> </w:t>
      </w:r>
      <w:r w:rsidRPr="00357522">
        <w:t>Nevertheless,</w:t>
      </w:r>
      <w:r w:rsidRPr="00357522">
        <w:rPr>
          <w:spacing w:val="-13"/>
        </w:rPr>
        <w:t xml:space="preserve"> </w:t>
      </w:r>
      <w:r w:rsidRPr="00357522">
        <w:t>the</w:t>
      </w:r>
      <w:r w:rsidRPr="00357522">
        <w:rPr>
          <w:spacing w:val="-12"/>
        </w:rPr>
        <w:t xml:space="preserve"> </w:t>
      </w:r>
      <w:r w:rsidRPr="00357522">
        <w:t>level</w:t>
      </w:r>
      <w:r w:rsidRPr="00357522">
        <w:rPr>
          <w:spacing w:val="-15"/>
        </w:rPr>
        <w:t xml:space="preserve"> </w:t>
      </w:r>
      <w:r w:rsidRPr="00357522">
        <w:t>of</w:t>
      </w:r>
      <w:r w:rsidRPr="00357522">
        <w:rPr>
          <w:spacing w:val="-16"/>
        </w:rPr>
        <w:t xml:space="preserve"> </w:t>
      </w:r>
      <w:r w:rsidRPr="00357522">
        <w:t>disconnection between each scheme given the various lead project institutions has worked against the emergence of a Transport TQM approach to longer-term success. This research goes some way in addressing these shortfalls by revealing both the barriers to,</w:t>
      </w:r>
      <w:r w:rsidRPr="00357522">
        <w:t xml:space="preserve"> and opportunities offered by operator recognition schemes to address organisational sub-optimisation. With respect to one scheme there is a majority view amongst interviewees and survey respondents that there is a lack of consultation regardless of the sc</w:t>
      </w:r>
      <w:r w:rsidRPr="00357522">
        <w:t>ale of member organisations. An analysis of the Governance and Standards Advisory Group, set up to monitor operational compliance with the scheme’s standards reveals a lack of sector representativeness; consultation itself is meaningless unless it is in co</w:t>
      </w:r>
      <w:r w:rsidRPr="00357522">
        <w:t>njunction with a range of members</w:t>
      </w:r>
      <w:r w:rsidRPr="00357522">
        <w:rPr>
          <w:spacing w:val="7"/>
        </w:rPr>
        <w:t xml:space="preserve"> </w:t>
      </w:r>
      <w:r w:rsidRPr="00357522">
        <w:t>who</w:t>
      </w:r>
      <w:r w:rsidRPr="00357522">
        <w:rPr>
          <w:spacing w:val="10"/>
        </w:rPr>
        <w:t xml:space="preserve"> </w:t>
      </w:r>
      <w:r w:rsidRPr="00357522">
        <w:t>are</w:t>
      </w:r>
      <w:r w:rsidRPr="00357522">
        <w:rPr>
          <w:spacing w:val="7"/>
        </w:rPr>
        <w:t xml:space="preserve"> </w:t>
      </w:r>
      <w:r w:rsidRPr="00357522">
        <w:t>representative</w:t>
      </w:r>
      <w:r w:rsidRPr="00357522">
        <w:rPr>
          <w:spacing w:val="8"/>
        </w:rPr>
        <w:t xml:space="preserve"> </w:t>
      </w:r>
      <w:r w:rsidRPr="00357522">
        <w:t>across</w:t>
      </w:r>
      <w:r w:rsidRPr="00357522">
        <w:rPr>
          <w:spacing w:val="7"/>
        </w:rPr>
        <w:t xml:space="preserve"> </w:t>
      </w:r>
      <w:r w:rsidRPr="00357522">
        <w:t>the</w:t>
      </w:r>
      <w:r w:rsidRPr="00357522">
        <w:rPr>
          <w:spacing w:val="10"/>
        </w:rPr>
        <w:t xml:space="preserve"> </w:t>
      </w:r>
      <w:r w:rsidRPr="00357522">
        <w:t>scheme’s</w:t>
      </w:r>
      <w:r w:rsidRPr="00357522">
        <w:rPr>
          <w:spacing w:val="10"/>
        </w:rPr>
        <w:t xml:space="preserve"> </w:t>
      </w:r>
      <w:r w:rsidRPr="00357522">
        <w:t>membership</w:t>
      </w:r>
      <w:r w:rsidRPr="00357522">
        <w:rPr>
          <w:spacing w:val="8"/>
        </w:rPr>
        <w:t xml:space="preserve"> </w:t>
      </w:r>
      <w:r w:rsidRPr="00357522">
        <w:t>scale</w:t>
      </w:r>
      <w:r w:rsidRPr="00357522">
        <w:rPr>
          <w:spacing w:val="7"/>
        </w:rPr>
        <w:t xml:space="preserve"> </w:t>
      </w:r>
      <w:r w:rsidRPr="00357522">
        <w:t>and</w:t>
      </w:r>
      <w:r w:rsidRPr="00357522">
        <w:rPr>
          <w:spacing w:val="8"/>
        </w:rPr>
        <w:t xml:space="preserve"> </w:t>
      </w:r>
      <w:r w:rsidRPr="00357522">
        <w:t>profiles.</w:t>
      </w:r>
      <w:r w:rsidRPr="00357522">
        <w:rPr>
          <w:spacing w:val="7"/>
        </w:rPr>
        <w:t xml:space="preserve"> </w:t>
      </w:r>
      <w:r w:rsidRPr="00357522">
        <w:t>The</w:t>
      </w:r>
      <w:r w:rsidRPr="00357522">
        <w:rPr>
          <w:spacing w:val="10"/>
        </w:rPr>
        <w:t xml:space="preserve"> </w:t>
      </w:r>
      <w:r w:rsidRPr="00357522">
        <w:t>arbitrary</w:t>
      </w:r>
      <w:r>
        <w:t xml:space="preserve"> </w:t>
      </w:r>
      <w:r w:rsidRPr="00357522">
        <w:t>nature of scheme amendments also adds to the feelings of member disenfranchisement. Notwithstanding these factors, a</w:t>
      </w:r>
      <w:r w:rsidRPr="00357522">
        <w:t xml:space="preserve"> member profile with high levels of satisfaction did emerge; medium sized</w:t>
      </w:r>
      <w:r w:rsidRPr="00357522">
        <w:rPr>
          <w:spacing w:val="-7"/>
        </w:rPr>
        <w:t xml:space="preserve"> </w:t>
      </w:r>
      <w:r w:rsidRPr="00357522">
        <w:t>enterprises</w:t>
      </w:r>
      <w:r w:rsidRPr="00357522">
        <w:rPr>
          <w:spacing w:val="-6"/>
        </w:rPr>
        <w:t xml:space="preserve"> </w:t>
      </w:r>
      <w:r w:rsidRPr="00357522">
        <w:t>who</w:t>
      </w:r>
      <w:r w:rsidRPr="00357522">
        <w:rPr>
          <w:spacing w:val="-6"/>
        </w:rPr>
        <w:t xml:space="preserve"> </w:t>
      </w:r>
      <w:r w:rsidRPr="00357522">
        <w:t>were</w:t>
      </w:r>
      <w:r w:rsidRPr="00357522">
        <w:rPr>
          <w:spacing w:val="-8"/>
        </w:rPr>
        <w:t xml:space="preserve"> </w:t>
      </w:r>
      <w:r w:rsidRPr="00357522">
        <w:t>mainly</w:t>
      </w:r>
      <w:r w:rsidRPr="00357522">
        <w:rPr>
          <w:spacing w:val="-6"/>
        </w:rPr>
        <w:t xml:space="preserve"> </w:t>
      </w:r>
      <w:r w:rsidRPr="00357522">
        <w:t>involved</w:t>
      </w:r>
      <w:r w:rsidRPr="00357522">
        <w:rPr>
          <w:spacing w:val="-7"/>
        </w:rPr>
        <w:t xml:space="preserve"> </w:t>
      </w:r>
      <w:r w:rsidRPr="00357522">
        <w:t>in</w:t>
      </w:r>
      <w:r w:rsidRPr="00357522">
        <w:rPr>
          <w:spacing w:val="-8"/>
        </w:rPr>
        <w:t xml:space="preserve"> </w:t>
      </w:r>
      <w:r w:rsidRPr="00357522">
        <w:t>day</w:t>
      </w:r>
      <w:r w:rsidRPr="00357522">
        <w:rPr>
          <w:spacing w:val="-6"/>
        </w:rPr>
        <w:t xml:space="preserve"> </w:t>
      </w:r>
      <w:r w:rsidRPr="00357522">
        <w:t>work</w:t>
      </w:r>
      <w:r w:rsidRPr="00357522">
        <w:rPr>
          <w:spacing w:val="-6"/>
        </w:rPr>
        <w:t xml:space="preserve"> </w:t>
      </w:r>
      <w:r w:rsidRPr="00357522">
        <w:t>in</w:t>
      </w:r>
      <w:r w:rsidRPr="00357522">
        <w:rPr>
          <w:spacing w:val="-8"/>
        </w:rPr>
        <w:t xml:space="preserve"> </w:t>
      </w:r>
      <w:r w:rsidRPr="00357522">
        <w:t>support</w:t>
      </w:r>
      <w:r w:rsidRPr="00357522">
        <w:rPr>
          <w:spacing w:val="-9"/>
        </w:rPr>
        <w:t xml:space="preserve"> </w:t>
      </w:r>
      <w:r w:rsidRPr="00357522">
        <w:t>of</w:t>
      </w:r>
      <w:r w:rsidRPr="00357522">
        <w:rPr>
          <w:spacing w:val="-9"/>
        </w:rPr>
        <w:t xml:space="preserve"> </w:t>
      </w:r>
      <w:r w:rsidRPr="00357522">
        <w:t>major</w:t>
      </w:r>
      <w:r w:rsidRPr="00357522">
        <w:rPr>
          <w:spacing w:val="-7"/>
        </w:rPr>
        <w:t xml:space="preserve"> </w:t>
      </w:r>
      <w:r w:rsidRPr="00357522">
        <w:t>civil</w:t>
      </w:r>
      <w:r w:rsidRPr="00357522">
        <w:rPr>
          <w:spacing w:val="-7"/>
        </w:rPr>
        <w:t xml:space="preserve"> </w:t>
      </w:r>
      <w:r w:rsidRPr="00357522">
        <w:t>engineering</w:t>
      </w:r>
      <w:r w:rsidRPr="00357522">
        <w:rPr>
          <w:spacing w:val="-7"/>
        </w:rPr>
        <w:t xml:space="preserve"> </w:t>
      </w:r>
      <w:r w:rsidRPr="00357522">
        <w:t>projects.</w:t>
      </w:r>
    </w:p>
    <w:p w:rsidR="00F36AD3" w:rsidRPr="00357522" w:rsidRDefault="00F36AD3" w:rsidP="00357522">
      <w:pPr>
        <w:pStyle w:val="BodyText"/>
        <w:ind w:left="0"/>
      </w:pPr>
    </w:p>
    <w:p w:rsidR="00357522" w:rsidRDefault="00357522" w:rsidP="00357522">
      <w:pPr>
        <w:pStyle w:val="BodyText"/>
        <w:ind w:left="0"/>
        <w:jc w:val="both"/>
      </w:pPr>
      <w:r w:rsidRPr="00357522">
        <w:t>Geographical saturation of schemes is not a necessity for success with regards to en</w:t>
      </w:r>
      <w:r w:rsidRPr="00357522">
        <w:t>vironmental benefits;</w:t>
      </w:r>
      <w:r w:rsidRPr="00357522">
        <w:rPr>
          <w:spacing w:val="-14"/>
        </w:rPr>
        <w:t xml:space="preserve"> </w:t>
      </w:r>
      <w:r w:rsidRPr="00357522">
        <w:t>the</w:t>
      </w:r>
      <w:r w:rsidRPr="00357522">
        <w:rPr>
          <w:spacing w:val="-13"/>
        </w:rPr>
        <w:t xml:space="preserve"> </w:t>
      </w:r>
      <w:r w:rsidRPr="00357522">
        <w:t>nature</w:t>
      </w:r>
      <w:r w:rsidRPr="00357522">
        <w:rPr>
          <w:spacing w:val="-15"/>
        </w:rPr>
        <w:t xml:space="preserve"> </w:t>
      </w:r>
      <w:r w:rsidRPr="00357522">
        <w:t>of</w:t>
      </w:r>
      <w:r w:rsidRPr="00357522">
        <w:rPr>
          <w:spacing w:val="-13"/>
        </w:rPr>
        <w:t xml:space="preserve"> </w:t>
      </w:r>
      <w:r w:rsidRPr="00357522">
        <w:t>freight</w:t>
      </w:r>
      <w:r w:rsidRPr="00357522">
        <w:rPr>
          <w:spacing w:val="-12"/>
        </w:rPr>
        <w:t xml:space="preserve"> </w:t>
      </w:r>
      <w:r w:rsidRPr="00357522">
        <w:t>transport</w:t>
      </w:r>
      <w:r w:rsidRPr="00357522">
        <w:rPr>
          <w:spacing w:val="-12"/>
        </w:rPr>
        <w:t xml:space="preserve"> </w:t>
      </w:r>
      <w:r w:rsidRPr="00357522">
        <w:t>operations</w:t>
      </w:r>
      <w:r w:rsidRPr="00357522">
        <w:rPr>
          <w:spacing w:val="-13"/>
        </w:rPr>
        <w:t xml:space="preserve"> </w:t>
      </w:r>
      <w:r w:rsidRPr="00357522">
        <w:t>is</w:t>
      </w:r>
      <w:r w:rsidRPr="00357522">
        <w:rPr>
          <w:spacing w:val="-13"/>
        </w:rPr>
        <w:t xml:space="preserve"> </w:t>
      </w:r>
      <w:r w:rsidRPr="00357522">
        <w:t>that</w:t>
      </w:r>
      <w:r w:rsidRPr="00357522">
        <w:rPr>
          <w:spacing w:val="-13"/>
        </w:rPr>
        <w:t xml:space="preserve"> </w:t>
      </w:r>
      <w:r w:rsidRPr="00357522">
        <w:t>vehicles</w:t>
      </w:r>
      <w:r w:rsidRPr="00357522">
        <w:rPr>
          <w:spacing w:val="-12"/>
        </w:rPr>
        <w:t xml:space="preserve"> </w:t>
      </w:r>
      <w:r w:rsidRPr="00357522">
        <w:t>and</w:t>
      </w:r>
      <w:r w:rsidRPr="00357522">
        <w:rPr>
          <w:spacing w:val="-16"/>
        </w:rPr>
        <w:t xml:space="preserve"> </w:t>
      </w:r>
      <w:r w:rsidRPr="00357522">
        <w:t>operators</w:t>
      </w:r>
      <w:r w:rsidRPr="00357522">
        <w:rPr>
          <w:spacing w:val="-15"/>
        </w:rPr>
        <w:t xml:space="preserve"> </w:t>
      </w:r>
      <w:r w:rsidRPr="00357522">
        <w:t>within</w:t>
      </w:r>
      <w:r w:rsidRPr="00357522">
        <w:rPr>
          <w:spacing w:val="-14"/>
        </w:rPr>
        <w:t xml:space="preserve"> </w:t>
      </w:r>
      <w:r w:rsidRPr="00357522">
        <w:t>a</w:t>
      </w:r>
      <w:r w:rsidRPr="00357522">
        <w:rPr>
          <w:spacing w:val="-15"/>
        </w:rPr>
        <w:t xml:space="preserve"> </w:t>
      </w:r>
      <w:r w:rsidRPr="00357522">
        <w:t>membership accreditation scheme frequently cross geographical boundaries regardless of any schemes in place, thus</w:t>
      </w:r>
      <w:r w:rsidRPr="00357522">
        <w:rPr>
          <w:spacing w:val="-10"/>
        </w:rPr>
        <w:t xml:space="preserve"> </w:t>
      </w:r>
      <w:r w:rsidRPr="00357522">
        <w:t>spreading</w:t>
      </w:r>
      <w:r w:rsidRPr="00357522">
        <w:rPr>
          <w:spacing w:val="-11"/>
        </w:rPr>
        <w:t xml:space="preserve"> </w:t>
      </w:r>
      <w:r w:rsidRPr="00357522">
        <w:t>the</w:t>
      </w:r>
      <w:r w:rsidRPr="00357522">
        <w:rPr>
          <w:spacing w:val="-10"/>
        </w:rPr>
        <w:t xml:space="preserve"> </w:t>
      </w:r>
      <w:r w:rsidRPr="00357522">
        <w:t>reach</w:t>
      </w:r>
      <w:r w:rsidRPr="00357522">
        <w:rPr>
          <w:spacing w:val="-11"/>
        </w:rPr>
        <w:t xml:space="preserve"> </w:t>
      </w:r>
      <w:r w:rsidRPr="00357522">
        <w:t>and</w:t>
      </w:r>
      <w:r w:rsidRPr="00357522">
        <w:rPr>
          <w:spacing w:val="-11"/>
        </w:rPr>
        <w:t xml:space="preserve"> </w:t>
      </w:r>
      <w:r w:rsidRPr="00357522">
        <w:t>impact</w:t>
      </w:r>
      <w:r w:rsidRPr="00357522">
        <w:rPr>
          <w:spacing w:val="-10"/>
        </w:rPr>
        <w:t xml:space="preserve"> </w:t>
      </w:r>
      <w:r w:rsidRPr="00357522">
        <w:t>brought</w:t>
      </w:r>
      <w:r w:rsidRPr="00357522">
        <w:rPr>
          <w:spacing w:val="-10"/>
        </w:rPr>
        <w:t xml:space="preserve"> </w:t>
      </w:r>
      <w:r w:rsidRPr="00357522">
        <w:t>about</w:t>
      </w:r>
      <w:r w:rsidRPr="00357522">
        <w:rPr>
          <w:spacing w:val="-12"/>
        </w:rPr>
        <w:t xml:space="preserve"> </w:t>
      </w:r>
      <w:r w:rsidRPr="00357522">
        <w:t>by</w:t>
      </w:r>
      <w:r w:rsidRPr="00357522">
        <w:rPr>
          <w:spacing w:val="-12"/>
        </w:rPr>
        <w:t xml:space="preserve"> </w:t>
      </w:r>
      <w:r w:rsidRPr="00357522">
        <w:t>scheme</w:t>
      </w:r>
      <w:r w:rsidRPr="00357522">
        <w:rPr>
          <w:spacing w:val="-12"/>
        </w:rPr>
        <w:t xml:space="preserve"> </w:t>
      </w:r>
      <w:r w:rsidRPr="00357522">
        <w:t>membership</w:t>
      </w:r>
      <w:r w:rsidRPr="00357522">
        <w:rPr>
          <w:spacing w:val="-11"/>
        </w:rPr>
        <w:t xml:space="preserve"> </w:t>
      </w:r>
      <w:r w:rsidRPr="00357522">
        <w:t>(e.g.</w:t>
      </w:r>
      <w:r w:rsidRPr="00357522">
        <w:rPr>
          <w:spacing w:val="-11"/>
        </w:rPr>
        <w:t xml:space="preserve"> </w:t>
      </w:r>
      <w:r w:rsidRPr="00357522">
        <w:t>cleaner</w:t>
      </w:r>
      <w:r w:rsidRPr="00357522">
        <w:rPr>
          <w:spacing w:val="-11"/>
        </w:rPr>
        <w:t xml:space="preserve"> </w:t>
      </w:r>
      <w:r w:rsidRPr="00357522">
        <w:t>vehicles,</w:t>
      </w:r>
      <w:r w:rsidRPr="00357522">
        <w:rPr>
          <w:spacing w:val="-12"/>
        </w:rPr>
        <w:t xml:space="preserve"> </w:t>
      </w:r>
      <w:r w:rsidRPr="00357522">
        <w:t xml:space="preserve">fuel efficient and safe driving practices etc.) and disseminated beyond any regional boundaries. We have identified synergies between these schemes and the American </w:t>
      </w:r>
      <w:proofErr w:type="spellStart"/>
      <w:r w:rsidRPr="00357522">
        <w:t>SmartWay</w:t>
      </w:r>
      <w:proofErr w:type="spellEnd"/>
      <w:r w:rsidRPr="00357522">
        <w:t xml:space="preserve"> (2017) scheme, where it</w:t>
      </w:r>
      <w:r w:rsidRPr="00357522">
        <w:t xml:space="preserve"> is anticipated that operational and environmental benefits will be achieved on a greater scale as trucks travel</w:t>
      </w:r>
      <w:r w:rsidRPr="00357522">
        <w:rPr>
          <w:spacing w:val="-4"/>
        </w:rPr>
        <w:t xml:space="preserve"> </w:t>
      </w:r>
      <w:r w:rsidRPr="00357522">
        <w:t>across</w:t>
      </w:r>
      <w:r w:rsidRPr="00357522">
        <w:rPr>
          <w:spacing w:val="-4"/>
        </w:rPr>
        <w:t xml:space="preserve"> </w:t>
      </w:r>
      <w:r w:rsidRPr="00357522">
        <w:t>state</w:t>
      </w:r>
      <w:r w:rsidRPr="00357522">
        <w:rPr>
          <w:spacing w:val="-4"/>
        </w:rPr>
        <w:t xml:space="preserve"> </w:t>
      </w:r>
      <w:r w:rsidRPr="00357522">
        <w:t>boundaries,</w:t>
      </w:r>
      <w:r w:rsidRPr="00357522">
        <w:rPr>
          <w:spacing w:val="-4"/>
        </w:rPr>
        <w:t xml:space="preserve"> </w:t>
      </w:r>
      <w:r w:rsidRPr="00357522">
        <w:t>whereby</w:t>
      </w:r>
      <w:r w:rsidRPr="00357522">
        <w:rPr>
          <w:spacing w:val="-3"/>
        </w:rPr>
        <w:t xml:space="preserve"> </w:t>
      </w:r>
      <w:r w:rsidRPr="00357522">
        <w:t>fixed</w:t>
      </w:r>
      <w:r w:rsidRPr="00357522">
        <w:rPr>
          <w:spacing w:val="-4"/>
        </w:rPr>
        <w:t xml:space="preserve"> </w:t>
      </w:r>
      <w:r w:rsidRPr="00357522">
        <w:t>and</w:t>
      </w:r>
      <w:r w:rsidRPr="00357522">
        <w:rPr>
          <w:spacing w:val="-5"/>
        </w:rPr>
        <w:t xml:space="preserve"> </w:t>
      </w:r>
      <w:r w:rsidRPr="00357522">
        <w:t>determined</w:t>
      </w:r>
      <w:r w:rsidRPr="00357522">
        <w:rPr>
          <w:spacing w:val="-4"/>
        </w:rPr>
        <w:t xml:space="preserve"> </w:t>
      </w:r>
      <w:r w:rsidRPr="00357522">
        <w:t>geo-spatiality</w:t>
      </w:r>
      <w:r w:rsidRPr="00357522">
        <w:rPr>
          <w:spacing w:val="-3"/>
        </w:rPr>
        <w:t xml:space="preserve"> </w:t>
      </w:r>
      <w:r w:rsidRPr="00357522">
        <w:t>can</w:t>
      </w:r>
      <w:r w:rsidRPr="00357522">
        <w:rPr>
          <w:spacing w:val="-7"/>
        </w:rPr>
        <w:t xml:space="preserve"> </w:t>
      </w:r>
      <w:r w:rsidRPr="00357522">
        <w:t>be</w:t>
      </w:r>
      <w:r w:rsidRPr="00357522">
        <w:rPr>
          <w:spacing w:val="-4"/>
        </w:rPr>
        <w:t xml:space="preserve"> </w:t>
      </w:r>
      <w:r w:rsidRPr="00357522">
        <w:t>seen</w:t>
      </w:r>
      <w:r w:rsidRPr="00357522">
        <w:rPr>
          <w:spacing w:val="-5"/>
        </w:rPr>
        <w:t xml:space="preserve"> </w:t>
      </w:r>
      <w:r w:rsidRPr="00357522">
        <w:t>as</w:t>
      </w:r>
      <w:r w:rsidRPr="00357522">
        <w:rPr>
          <w:spacing w:val="-4"/>
        </w:rPr>
        <w:t xml:space="preserve"> </w:t>
      </w:r>
      <w:r w:rsidRPr="00357522">
        <w:t>a</w:t>
      </w:r>
      <w:r w:rsidRPr="00357522">
        <w:rPr>
          <w:spacing w:val="-4"/>
        </w:rPr>
        <w:t xml:space="preserve"> </w:t>
      </w:r>
      <w:r w:rsidRPr="00357522">
        <w:t>scheme attribute rather than deserts between scheme fixed</w:t>
      </w:r>
      <w:r w:rsidRPr="00357522">
        <w:t xml:space="preserve"> areas. Whilst there is some operational cost associated with becoming a member of a voluntary operator recognition scheme, membership has the</w:t>
      </w:r>
      <w:r w:rsidRPr="00357522">
        <w:rPr>
          <w:spacing w:val="-10"/>
        </w:rPr>
        <w:t xml:space="preserve"> </w:t>
      </w:r>
      <w:r w:rsidRPr="00357522">
        <w:t>potential</w:t>
      </w:r>
      <w:r w:rsidRPr="00357522">
        <w:rPr>
          <w:spacing w:val="-13"/>
        </w:rPr>
        <w:t xml:space="preserve"> </w:t>
      </w:r>
      <w:r w:rsidRPr="00357522">
        <w:t>to</w:t>
      </w:r>
      <w:r w:rsidRPr="00357522">
        <w:rPr>
          <w:spacing w:val="-9"/>
        </w:rPr>
        <w:t xml:space="preserve"> </w:t>
      </w:r>
      <w:r w:rsidRPr="00357522">
        <w:t>be</w:t>
      </w:r>
      <w:r w:rsidRPr="00357522">
        <w:rPr>
          <w:spacing w:val="-12"/>
        </w:rPr>
        <w:t xml:space="preserve"> </w:t>
      </w:r>
      <w:r w:rsidRPr="00357522">
        <w:t>a</w:t>
      </w:r>
      <w:r w:rsidRPr="00357522">
        <w:rPr>
          <w:spacing w:val="-13"/>
        </w:rPr>
        <w:t xml:space="preserve"> </w:t>
      </w:r>
      <w:r w:rsidRPr="00357522">
        <w:t>win-win</w:t>
      </w:r>
      <w:r w:rsidRPr="00357522">
        <w:rPr>
          <w:spacing w:val="-11"/>
        </w:rPr>
        <w:t xml:space="preserve"> </w:t>
      </w:r>
      <w:r w:rsidRPr="00357522">
        <w:t>for</w:t>
      </w:r>
      <w:r w:rsidRPr="00357522">
        <w:rPr>
          <w:spacing w:val="-10"/>
        </w:rPr>
        <w:t xml:space="preserve"> </w:t>
      </w:r>
      <w:r w:rsidRPr="00357522">
        <w:t>both</w:t>
      </w:r>
      <w:r w:rsidRPr="00357522">
        <w:rPr>
          <w:spacing w:val="-13"/>
        </w:rPr>
        <w:t xml:space="preserve"> </w:t>
      </w:r>
      <w:r w:rsidRPr="00357522">
        <w:t>operators</w:t>
      </w:r>
      <w:r w:rsidRPr="00357522">
        <w:rPr>
          <w:spacing w:val="-10"/>
        </w:rPr>
        <w:t xml:space="preserve"> </w:t>
      </w:r>
      <w:r w:rsidRPr="00357522">
        <w:t>and</w:t>
      </w:r>
      <w:r w:rsidRPr="00357522">
        <w:rPr>
          <w:spacing w:val="-11"/>
        </w:rPr>
        <w:t xml:space="preserve"> </w:t>
      </w:r>
      <w:r w:rsidRPr="00357522">
        <w:t>policy</w:t>
      </w:r>
      <w:r w:rsidRPr="00357522">
        <w:rPr>
          <w:spacing w:val="-12"/>
        </w:rPr>
        <w:t xml:space="preserve"> </w:t>
      </w:r>
      <w:r w:rsidRPr="00357522">
        <w:t>makers.</w:t>
      </w:r>
      <w:r w:rsidRPr="00357522">
        <w:rPr>
          <w:spacing w:val="-13"/>
        </w:rPr>
        <w:t xml:space="preserve"> </w:t>
      </w:r>
      <w:r w:rsidRPr="00357522">
        <w:t>With</w:t>
      </w:r>
      <w:r w:rsidRPr="00357522">
        <w:rPr>
          <w:spacing w:val="-13"/>
        </w:rPr>
        <w:t xml:space="preserve"> </w:t>
      </w:r>
      <w:r w:rsidRPr="00357522">
        <w:t>operators</w:t>
      </w:r>
      <w:r w:rsidRPr="00357522">
        <w:rPr>
          <w:spacing w:val="-13"/>
        </w:rPr>
        <w:t xml:space="preserve"> </w:t>
      </w:r>
      <w:r w:rsidRPr="00357522">
        <w:t>seeking</w:t>
      </w:r>
      <w:r w:rsidRPr="00357522">
        <w:rPr>
          <w:spacing w:val="-11"/>
        </w:rPr>
        <w:t xml:space="preserve"> </w:t>
      </w:r>
      <w:r w:rsidRPr="00357522">
        <w:t>to</w:t>
      </w:r>
      <w:r w:rsidRPr="00357522">
        <w:rPr>
          <w:spacing w:val="-9"/>
        </w:rPr>
        <w:t xml:space="preserve"> </w:t>
      </w:r>
      <w:r w:rsidRPr="00357522">
        <w:t>improve efficiency and promote best practice; whilst policy makers are tasked with achieving reductions in emissions and addressing sustainability targets. It comes down to getting the right balance so that a natural settlement occurs which reflects the ne</w:t>
      </w:r>
      <w:r w:rsidRPr="00357522">
        <w:t>eds of operators and</w:t>
      </w:r>
      <w:r w:rsidRPr="00357522">
        <w:rPr>
          <w:spacing w:val="-18"/>
        </w:rPr>
        <w:t xml:space="preserve"> </w:t>
      </w:r>
      <w:r w:rsidRPr="00357522">
        <w:t>stakeholders</w:t>
      </w:r>
      <w:r>
        <w:t>.</w:t>
      </w:r>
    </w:p>
    <w:p w:rsidR="00F36AD3" w:rsidRPr="00357522" w:rsidRDefault="00357522" w:rsidP="00357522">
      <w:pPr>
        <w:pStyle w:val="BodyText"/>
        <w:ind w:left="0"/>
        <w:jc w:val="both"/>
      </w:pPr>
      <w:r w:rsidRPr="00357522">
        <w:lastRenderedPageBreak/>
        <w:t>Given our findings, we reasonably presuppose that compliance schemes are more valuable tools as a locus across sustainability agendas and delivered in partnership for wider stakeholder good. This further positions the imp</w:t>
      </w:r>
      <w:r w:rsidRPr="00357522">
        <w:t>ortance and potential benefits of Transport Total Quality Management, based upon the preponderance of our evidence as a theoretical position requiring further research. TTQM</w:t>
      </w:r>
      <w:r w:rsidRPr="00357522">
        <w:rPr>
          <w:spacing w:val="-10"/>
        </w:rPr>
        <w:t xml:space="preserve"> </w:t>
      </w:r>
      <w:r w:rsidRPr="00357522">
        <w:t>involves</w:t>
      </w:r>
      <w:r w:rsidRPr="00357522">
        <w:rPr>
          <w:spacing w:val="-10"/>
        </w:rPr>
        <w:t xml:space="preserve"> </w:t>
      </w:r>
      <w:r w:rsidRPr="00357522">
        <w:t>the</w:t>
      </w:r>
      <w:r w:rsidRPr="00357522">
        <w:rPr>
          <w:spacing w:val="-10"/>
        </w:rPr>
        <w:t xml:space="preserve"> </w:t>
      </w:r>
      <w:r w:rsidRPr="00357522">
        <w:t>commoditisation</w:t>
      </w:r>
      <w:r w:rsidRPr="00357522">
        <w:rPr>
          <w:spacing w:val="-14"/>
        </w:rPr>
        <w:t xml:space="preserve"> </w:t>
      </w:r>
      <w:r w:rsidRPr="00357522">
        <w:t>of</w:t>
      </w:r>
      <w:r w:rsidRPr="00357522">
        <w:rPr>
          <w:spacing w:val="-11"/>
        </w:rPr>
        <w:t xml:space="preserve"> </w:t>
      </w:r>
      <w:r w:rsidRPr="00357522">
        <w:t>both</w:t>
      </w:r>
      <w:r w:rsidRPr="00357522">
        <w:rPr>
          <w:spacing w:val="-11"/>
        </w:rPr>
        <w:t xml:space="preserve"> </w:t>
      </w:r>
      <w:r w:rsidRPr="00357522">
        <w:t>autonomously generated</w:t>
      </w:r>
      <w:r w:rsidRPr="00357522">
        <w:rPr>
          <w:spacing w:val="-10"/>
        </w:rPr>
        <w:t xml:space="preserve"> </w:t>
      </w:r>
      <w:r w:rsidRPr="00357522">
        <w:t>data</w:t>
      </w:r>
      <w:r w:rsidRPr="00357522">
        <w:rPr>
          <w:spacing w:val="-10"/>
        </w:rPr>
        <w:t xml:space="preserve"> </w:t>
      </w:r>
      <w:r w:rsidRPr="00357522">
        <w:t>and</w:t>
      </w:r>
      <w:r w:rsidRPr="00357522">
        <w:rPr>
          <w:spacing w:val="-11"/>
        </w:rPr>
        <w:t xml:space="preserve"> </w:t>
      </w:r>
      <w:r w:rsidRPr="00357522">
        <w:t>implicit</w:t>
      </w:r>
      <w:r w:rsidRPr="00357522">
        <w:rPr>
          <w:spacing w:val="-13"/>
        </w:rPr>
        <w:t xml:space="preserve"> </w:t>
      </w:r>
      <w:r w:rsidRPr="00357522">
        <w:t>orga</w:t>
      </w:r>
      <w:r w:rsidRPr="00357522">
        <w:t>nisational skills to the overall benefit of customers, be they private or as regulatory bodies. TTQM is not negatively influenced by scale, but improved upon by skill recognition and data optimization. Additionally, our research reveals that a 'one size fi</w:t>
      </w:r>
      <w:r w:rsidRPr="00357522">
        <w:t xml:space="preserve">ts all's policy’ of one scheme works against innovation and continuous improvement. Industry interests are not practically addressed at both extremes of scale, here, a homogeneous approach does little more than deliver imitation rather than the innovative </w:t>
      </w:r>
      <w:r w:rsidRPr="00357522">
        <w:t>approaches required to improve customer satisfaction. To this end, there are alternative government funded schemes which create more value of shared data and performance indicators, leading to ‘earned recognition’, positive profiling and less likelihood of</w:t>
      </w:r>
      <w:r w:rsidRPr="00357522">
        <w:t xml:space="preserve"> being stopped and inspected by vehicle and operator inspection agencies such as VOSA in the United Kingdom. These relatively low-cost schemes can autonomously generate performance data on a periodic basis to ‘report upon’ therefore indicating that these e</w:t>
      </w:r>
      <w:r w:rsidRPr="00357522">
        <w:t>xtensible enterprise data sets provide more value in real terms to an organisation than commercial schemes, in which many memberships are at the first or introductory level, that has been sought to satisfy customer and project requirements. TTQM becomes mo</w:t>
      </w:r>
      <w:r w:rsidRPr="00357522">
        <w:t>re valuable in relation to scale, when framed within structured continuous improvements, responding to internal and external customer feedback in a quality management system.</w:t>
      </w:r>
      <w:r w:rsidRPr="00357522">
        <w:rPr>
          <w:spacing w:val="37"/>
        </w:rPr>
        <w:t xml:space="preserve"> </w:t>
      </w:r>
      <w:r w:rsidRPr="00357522">
        <w:t>Our</w:t>
      </w:r>
      <w:r w:rsidRPr="00357522">
        <w:rPr>
          <w:spacing w:val="-10"/>
        </w:rPr>
        <w:t xml:space="preserve"> </w:t>
      </w:r>
      <w:r w:rsidRPr="00357522">
        <w:t>research</w:t>
      </w:r>
      <w:r w:rsidRPr="00357522">
        <w:rPr>
          <w:spacing w:val="-10"/>
        </w:rPr>
        <w:t xml:space="preserve"> </w:t>
      </w:r>
      <w:r w:rsidRPr="00357522">
        <w:t>therefore</w:t>
      </w:r>
      <w:r w:rsidRPr="00357522">
        <w:rPr>
          <w:spacing w:val="-11"/>
        </w:rPr>
        <w:t xml:space="preserve"> </w:t>
      </w:r>
      <w:r w:rsidRPr="00357522">
        <w:t>suggests</w:t>
      </w:r>
      <w:r w:rsidRPr="00357522">
        <w:rPr>
          <w:spacing w:val="-9"/>
        </w:rPr>
        <w:t xml:space="preserve"> </w:t>
      </w:r>
      <w:r w:rsidRPr="00357522">
        <w:t>that</w:t>
      </w:r>
      <w:r w:rsidRPr="00357522">
        <w:rPr>
          <w:spacing w:val="-8"/>
        </w:rPr>
        <w:t xml:space="preserve"> </w:t>
      </w:r>
      <w:r w:rsidRPr="00357522">
        <w:t>TTQM</w:t>
      </w:r>
      <w:r w:rsidRPr="00357522">
        <w:rPr>
          <w:spacing w:val="-8"/>
        </w:rPr>
        <w:t xml:space="preserve"> </w:t>
      </w:r>
      <w:r w:rsidRPr="00357522">
        <w:t>as</w:t>
      </w:r>
      <w:r w:rsidRPr="00357522">
        <w:rPr>
          <w:spacing w:val="-9"/>
        </w:rPr>
        <w:t xml:space="preserve"> </w:t>
      </w:r>
      <w:r w:rsidRPr="00357522">
        <w:t>a</w:t>
      </w:r>
      <w:r w:rsidRPr="00357522">
        <w:rPr>
          <w:spacing w:val="-9"/>
        </w:rPr>
        <w:t xml:space="preserve"> </w:t>
      </w:r>
      <w:r w:rsidRPr="00357522">
        <w:t>construct</w:t>
      </w:r>
      <w:r w:rsidRPr="00357522">
        <w:rPr>
          <w:spacing w:val="-8"/>
        </w:rPr>
        <w:t xml:space="preserve"> </w:t>
      </w:r>
      <w:r w:rsidRPr="00357522">
        <w:t>and</w:t>
      </w:r>
      <w:r w:rsidRPr="00357522">
        <w:rPr>
          <w:spacing w:val="-10"/>
        </w:rPr>
        <w:t xml:space="preserve"> </w:t>
      </w:r>
      <w:r w:rsidRPr="00357522">
        <w:t>theory</w:t>
      </w:r>
      <w:r w:rsidRPr="00357522">
        <w:rPr>
          <w:spacing w:val="-8"/>
        </w:rPr>
        <w:t xml:space="preserve"> </w:t>
      </w:r>
      <w:r w:rsidRPr="00357522">
        <w:t>development,</w:t>
      </w:r>
      <w:r w:rsidRPr="00357522">
        <w:rPr>
          <w:spacing w:val="-9"/>
        </w:rPr>
        <w:t xml:space="preserve"> </w:t>
      </w:r>
      <w:r w:rsidRPr="00357522">
        <w:t>depends upon</w:t>
      </w:r>
      <w:r w:rsidRPr="00357522">
        <w:rPr>
          <w:spacing w:val="-11"/>
        </w:rPr>
        <w:t xml:space="preserve"> </w:t>
      </w:r>
      <w:r w:rsidRPr="00357522">
        <w:t>all</w:t>
      </w:r>
      <w:r w:rsidRPr="00357522">
        <w:rPr>
          <w:spacing w:val="-11"/>
        </w:rPr>
        <w:t xml:space="preserve"> </w:t>
      </w:r>
      <w:r w:rsidRPr="00357522">
        <w:t>colleagues</w:t>
      </w:r>
      <w:r w:rsidRPr="00357522">
        <w:rPr>
          <w:spacing w:val="-10"/>
        </w:rPr>
        <w:t xml:space="preserve"> </w:t>
      </w:r>
      <w:r w:rsidRPr="00357522">
        <w:t>in</w:t>
      </w:r>
      <w:r w:rsidRPr="00357522">
        <w:rPr>
          <w:spacing w:val="-11"/>
        </w:rPr>
        <w:t xml:space="preserve"> </w:t>
      </w:r>
      <w:r w:rsidRPr="00357522">
        <w:t>a</w:t>
      </w:r>
      <w:r w:rsidRPr="00357522">
        <w:rPr>
          <w:spacing w:val="-13"/>
        </w:rPr>
        <w:t xml:space="preserve"> </w:t>
      </w:r>
      <w:r w:rsidRPr="00357522">
        <w:t>transport</w:t>
      </w:r>
      <w:r w:rsidRPr="00357522">
        <w:rPr>
          <w:spacing w:val="-12"/>
        </w:rPr>
        <w:t xml:space="preserve"> </w:t>
      </w:r>
      <w:r w:rsidRPr="00357522">
        <w:t>operational</w:t>
      </w:r>
      <w:r w:rsidRPr="00357522">
        <w:rPr>
          <w:spacing w:val="-11"/>
        </w:rPr>
        <w:t xml:space="preserve"> </w:t>
      </w:r>
      <w:r w:rsidRPr="00357522">
        <w:t>agency,</w:t>
      </w:r>
      <w:r w:rsidRPr="00357522">
        <w:rPr>
          <w:spacing w:val="-13"/>
        </w:rPr>
        <w:t xml:space="preserve"> </w:t>
      </w:r>
      <w:r w:rsidRPr="00357522">
        <w:t>whether</w:t>
      </w:r>
      <w:r w:rsidRPr="00357522">
        <w:rPr>
          <w:spacing w:val="-10"/>
        </w:rPr>
        <w:t xml:space="preserve"> </w:t>
      </w:r>
      <w:r w:rsidRPr="00357522">
        <w:t>publicly</w:t>
      </w:r>
      <w:r w:rsidRPr="00357522">
        <w:rPr>
          <w:spacing w:val="-10"/>
        </w:rPr>
        <w:t xml:space="preserve"> </w:t>
      </w:r>
      <w:r w:rsidRPr="00357522">
        <w:t>or</w:t>
      </w:r>
      <w:r w:rsidRPr="00357522">
        <w:rPr>
          <w:spacing w:val="-13"/>
        </w:rPr>
        <w:t xml:space="preserve"> </w:t>
      </w:r>
      <w:r w:rsidRPr="00357522">
        <w:t>privately</w:t>
      </w:r>
      <w:r w:rsidRPr="00357522">
        <w:rPr>
          <w:spacing w:val="-10"/>
        </w:rPr>
        <w:t xml:space="preserve"> </w:t>
      </w:r>
      <w:r w:rsidRPr="00357522">
        <w:t>owned,</w:t>
      </w:r>
      <w:r w:rsidRPr="00357522">
        <w:rPr>
          <w:spacing w:val="-11"/>
        </w:rPr>
        <w:t xml:space="preserve"> </w:t>
      </w:r>
      <w:r w:rsidRPr="00357522">
        <w:t>to</w:t>
      </w:r>
      <w:r w:rsidRPr="00357522">
        <w:rPr>
          <w:spacing w:val="-9"/>
        </w:rPr>
        <w:t xml:space="preserve"> </w:t>
      </w:r>
      <w:r w:rsidRPr="00357522">
        <w:t>advance incrementally</w:t>
      </w:r>
      <w:r w:rsidRPr="00357522">
        <w:rPr>
          <w:spacing w:val="-13"/>
        </w:rPr>
        <w:t xml:space="preserve"> </w:t>
      </w:r>
      <w:r w:rsidRPr="00357522">
        <w:t>and</w:t>
      </w:r>
      <w:r w:rsidRPr="00357522">
        <w:rPr>
          <w:spacing w:val="-15"/>
        </w:rPr>
        <w:t xml:space="preserve"> </w:t>
      </w:r>
      <w:r w:rsidRPr="00357522">
        <w:t>sustainably,</w:t>
      </w:r>
      <w:r w:rsidRPr="00357522">
        <w:rPr>
          <w:spacing w:val="-13"/>
        </w:rPr>
        <w:t xml:space="preserve"> </w:t>
      </w:r>
      <w:r w:rsidRPr="00357522">
        <w:t>with</w:t>
      </w:r>
      <w:r w:rsidRPr="00357522">
        <w:rPr>
          <w:spacing w:val="-12"/>
        </w:rPr>
        <w:t xml:space="preserve"> </w:t>
      </w:r>
      <w:r w:rsidRPr="00357522">
        <w:t>due</w:t>
      </w:r>
      <w:r w:rsidRPr="00357522">
        <w:rPr>
          <w:spacing w:val="-13"/>
        </w:rPr>
        <w:t xml:space="preserve"> </w:t>
      </w:r>
      <w:r w:rsidRPr="00357522">
        <w:t>consideration</w:t>
      </w:r>
      <w:r w:rsidRPr="00357522">
        <w:rPr>
          <w:spacing w:val="-17"/>
        </w:rPr>
        <w:t xml:space="preserve"> </w:t>
      </w:r>
      <w:r w:rsidRPr="00357522">
        <w:t>of</w:t>
      </w:r>
      <w:r w:rsidRPr="00357522">
        <w:rPr>
          <w:spacing w:val="-12"/>
        </w:rPr>
        <w:t xml:space="preserve"> </w:t>
      </w:r>
      <w:r w:rsidRPr="00357522">
        <w:t>all</w:t>
      </w:r>
      <w:r w:rsidRPr="00357522">
        <w:rPr>
          <w:spacing w:val="-15"/>
        </w:rPr>
        <w:t xml:space="preserve"> </w:t>
      </w:r>
      <w:r w:rsidRPr="00357522">
        <w:t>stakeholders</w:t>
      </w:r>
      <w:r w:rsidRPr="00357522">
        <w:rPr>
          <w:spacing w:val="-13"/>
        </w:rPr>
        <w:t xml:space="preserve"> </w:t>
      </w:r>
      <w:r w:rsidRPr="00357522">
        <w:t>via</w:t>
      </w:r>
      <w:r w:rsidRPr="00357522">
        <w:rPr>
          <w:spacing w:val="-12"/>
        </w:rPr>
        <w:t xml:space="preserve"> </w:t>
      </w:r>
      <w:r w:rsidRPr="00357522">
        <w:t>a</w:t>
      </w:r>
      <w:r w:rsidRPr="00357522">
        <w:rPr>
          <w:spacing w:val="-14"/>
        </w:rPr>
        <w:t xml:space="preserve"> </w:t>
      </w:r>
      <w:r w:rsidRPr="00357522">
        <w:t>series</w:t>
      </w:r>
      <w:r w:rsidRPr="00357522">
        <w:rPr>
          <w:spacing w:val="-13"/>
        </w:rPr>
        <w:t xml:space="preserve"> </w:t>
      </w:r>
      <w:r w:rsidRPr="00357522">
        <w:t>of</w:t>
      </w:r>
      <w:r w:rsidRPr="00357522">
        <w:rPr>
          <w:spacing w:val="-14"/>
        </w:rPr>
        <w:t xml:space="preserve"> </w:t>
      </w:r>
      <w:r w:rsidRPr="00357522">
        <w:t>measurements and</w:t>
      </w:r>
      <w:r w:rsidRPr="00357522">
        <w:rPr>
          <w:spacing w:val="-2"/>
        </w:rPr>
        <w:t xml:space="preserve"> </w:t>
      </w:r>
      <w:r w:rsidRPr="00357522">
        <w:t>initiatives.</w:t>
      </w:r>
    </w:p>
    <w:p w:rsidR="00F36AD3" w:rsidRPr="00357522" w:rsidRDefault="00F36AD3" w:rsidP="00357522">
      <w:pPr>
        <w:pStyle w:val="BodyText"/>
        <w:ind w:left="0"/>
      </w:pPr>
    </w:p>
    <w:p w:rsidR="00F36AD3" w:rsidRPr="00357522" w:rsidRDefault="00357522" w:rsidP="00357522">
      <w:pPr>
        <w:rPr>
          <w:b/>
          <w:u w:val="single"/>
        </w:rPr>
      </w:pPr>
      <w:r w:rsidRPr="00357522">
        <w:rPr>
          <w:b/>
          <w:u w:val="single"/>
        </w:rPr>
        <w:t>REFERENCES</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Ahire</w:t>
      </w:r>
      <w:proofErr w:type="spellEnd"/>
      <w:r w:rsidRPr="00357522">
        <w:rPr>
          <w:i/>
        </w:rPr>
        <w:t xml:space="preserve">, S.L. and </w:t>
      </w:r>
      <w:proofErr w:type="spellStart"/>
      <w:r w:rsidRPr="00357522">
        <w:rPr>
          <w:i/>
        </w:rPr>
        <w:t>Golhar</w:t>
      </w:r>
      <w:proofErr w:type="spellEnd"/>
      <w:r w:rsidRPr="00357522">
        <w:rPr>
          <w:i/>
        </w:rPr>
        <w:t>, D.Y., (1996) “Quality management in large vs small firms”. Journal of Small Business Management, 34(2),</w:t>
      </w:r>
      <w:r w:rsidRPr="00357522">
        <w:rPr>
          <w:i/>
          <w:spacing w:val="-3"/>
        </w:rPr>
        <w:t xml:space="preserve"> </w:t>
      </w:r>
      <w:r w:rsidRPr="00357522">
        <w:rPr>
          <w:i/>
        </w:rPr>
        <w:t>p.1.</w:t>
      </w:r>
    </w:p>
    <w:p w:rsidR="00F36AD3" w:rsidRPr="00357522" w:rsidRDefault="00357522" w:rsidP="00357522">
      <w:pPr>
        <w:pStyle w:val="ListParagraph"/>
        <w:numPr>
          <w:ilvl w:val="0"/>
          <w:numId w:val="2"/>
        </w:numPr>
        <w:tabs>
          <w:tab w:val="left" w:pos="861"/>
        </w:tabs>
        <w:ind w:left="567" w:hanging="283"/>
        <w:rPr>
          <w:i/>
        </w:rPr>
      </w:pPr>
      <w:r w:rsidRPr="00357522">
        <w:rPr>
          <w:i/>
        </w:rPr>
        <w:t>Al-</w:t>
      </w:r>
      <w:proofErr w:type="spellStart"/>
      <w:r w:rsidRPr="00357522">
        <w:rPr>
          <w:i/>
        </w:rPr>
        <w:t>Bourini</w:t>
      </w:r>
      <w:proofErr w:type="spellEnd"/>
      <w:r w:rsidRPr="00357522">
        <w:rPr>
          <w:i/>
        </w:rPr>
        <w:t xml:space="preserve">, F., Al-Abdallah, G. and </w:t>
      </w:r>
      <w:proofErr w:type="spellStart"/>
      <w:r w:rsidRPr="00357522">
        <w:rPr>
          <w:i/>
        </w:rPr>
        <w:t>Abou-Moghli</w:t>
      </w:r>
      <w:proofErr w:type="spellEnd"/>
      <w:r w:rsidRPr="00357522">
        <w:rPr>
          <w:i/>
        </w:rPr>
        <w:t>, A. (2013) “Organizational Culture and Total Quality Management (TQM)”. Int</w:t>
      </w:r>
      <w:r w:rsidRPr="00357522">
        <w:rPr>
          <w:i/>
        </w:rPr>
        <w:t>ernational Journal of Business and Management, 8(24), pp. 95-106.</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Andrle</w:t>
      </w:r>
      <w:proofErr w:type="spellEnd"/>
      <w:r w:rsidRPr="00357522">
        <w:rPr>
          <w:i/>
        </w:rPr>
        <w:t xml:space="preserve">, S.J. (1994) “Total Quality Management in Public Transportation”. Research Results </w:t>
      </w:r>
      <w:proofErr w:type="gramStart"/>
      <w:r w:rsidRPr="00357522">
        <w:rPr>
          <w:i/>
        </w:rPr>
        <w:t>Digest  #</w:t>
      </w:r>
      <w:proofErr w:type="gramEnd"/>
      <w:r w:rsidRPr="00357522">
        <w:rPr>
          <w:i/>
        </w:rPr>
        <w:t>3  of  the  Federal  Transit  Administration’s  Transit  Cooperative   Re</w:t>
      </w:r>
      <w:r w:rsidRPr="00357522">
        <w:rPr>
          <w:i/>
        </w:rPr>
        <w:t>search Program. National Research Council,</w:t>
      </w:r>
      <w:r w:rsidRPr="00357522">
        <w:rPr>
          <w:i/>
          <w:spacing w:val="-4"/>
        </w:rPr>
        <w:t xml:space="preserve"> </w:t>
      </w:r>
      <w:r w:rsidRPr="00357522">
        <w:rPr>
          <w:i/>
        </w:rPr>
        <w:t>USA</w:t>
      </w:r>
    </w:p>
    <w:p w:rsidR="00F36AD3" w:rsidRPr="00357522" w:rsidRDefault="00357522" w:rsidP="00357522">
      <w:pPr>
        <w:pStyle w:val="ListParagraph"/>
        <w:numPr>
          <w:ilvl w:val="0"/>
          <w:numId w:val="2"/>
        </w:numPr>
        <w:tabs>
          <w:tab w:val="left" w:pos="861"/>
        </w:tabs>
        <w:ind w:left="567" w:hanging="283"/>
        <w:rPr>
          <w:i/>
        </w:rPr>
      </w:pPr>
      <w:r w:rsidRPr="00357522">
        <w:rPr>
          <w:i/>
        </w:rPr>
        <w:t xml:space="preserve">Asif, M. and </w:t>
      </w:r>
      <w:proofErr w:type="spellStart"/>
      <w:r w:rsidRPr="00357522">
        <w:rPr>
          <w:i/>
        </w:rPr>
        <w:t>Gouthier</w:t>
      </w:r>
      <w:proofErr w:type="spellEnd"/>
      <w:r w:rsidRPr="00357522">
        <w:rPr>
          <w:i/>
        </w:rPr>
        <w:t>, M.H., (2014) “What service excellence can learn from business excellence models”. Total Quality Management &amp; Business Excellence, 25(5-6),</w:t>
      </w:r>
      <w:r w:rsidRPr="00357522">
        <w:rPr>
          <w:i/>
          <w:spacing w:val="-19"/>
        </w:rPr>
        <w:t xml:space="preserve"> </w:t>
      </w:r>
      <w:r w:rsidRPr="00357522">
        <w:rPr>
          <w:i/>
        </w:rPr>
        <w:t>511-531.</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Ates</w:t>
      </w:r>
      <w:proofErr w:type="spellEnd"/>
      <w:r w:rsidRPr="00357522">
        <w:rPr>
          <w:i/>
        </w:rPr>
        <w:t xml:space="preserve">, A., </w:t>
      </w:r>
      <w:proofErr w:type="spellStart"/>
      <w:r w:rsidRPr="00357522">
        <w:rPr>
          <w:i/>
        </w:rPr>
        <w:t>Garengo</w:t>
      </w:r>
      <w:proofErr w:type="spellEnd"/>
      <w:r w:rsidRPr="00357522">
        <w:rPr>
          <w:i/>
        </w:rPr>
        <w:t xml:space="preserve">, P., </w:t>
      </w:r>
      <w:proofErr w:type="spellStart"/>
      <w:r w:rsidRPr="00357522">
        <w:rPr>
          <w:i/>
        </w:rPr>
        <w:t>Cocca</w:t>
      </w:r>
      <w:proofErr w:type="spellEnd"/>
      <w:r w:rsidRPr="00357522">
        <w:rPr>
          <w:i/>
        </w:rPr>
        <w:t xml:space="preserve">, P. and </w:t>
      </w:r>
      <w:proofErr w:type="spellStart"/>
      <w:r w:rsidRPr="00357522">
        <w:rPr>
          <w:i/>
        </w:rPr>
        <w:t>B</w:t>
      </w:r>
      <w:r w:rsidRPr="00357522">
        <w:rPr>
          <w:i/>
        </w:rPr>
        <w:t>ititci</w:t>
      </w:r>
      <w:proofErr w:type="spellEnd"/>
      <w:r w:rsidRPr="00357522">
        <w:rPr>
          <w:i/>
        </w:rPr>
        <w:t>, U., (2013) “The development of SME managerial practice for effective performance management”. Journal of Small Business and Enterprise Development, 20(1),</w:t>
      </w:r>
      <w:r w:rsidRPr="00357522">
        <w:rPr>
          <w:i/>
          <w:spacing w:val="-6"/>
        </w:rPr>
        <w:t xml:space="preserve"> </w:t>
      </w:r>
      <w:r w:rsidRPr="00357522">
        <w:rPr>
          <w:i/>
        </w:rPr>
        <w:t>pp.28-54.</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Besterfield</w:t>
      </w:r>
      <w:proofErr w:type="spellEnd"/>
      <w:r w:rsidRPr="00357522">
        <w:rPr>
          <w:i/>
        </w:rPr>
        <w:t xml:space="preserve">, D. H., </w:t>
      </w:r>
      <w:proofErr w:type="spellStart"/>
      <w:r w:rsidRPr="00357522">
        <w:rPr>
          <w:i/>
        </w:rPr>
        <w:t>Michna</w:t>
      </w:r>
      <w:proofErr w:type="spellEnd"/>
      <w:r w:rsidRPr="00357522">
        <w:rPr>
          <w:i/>
        </w:rPr>
        <w:t xml:space="preserve">, C. B., </w:t>
      </w:r>
      <w:proofErr w:type="spellStart"/>
      <w:r w:rsidRPr="00357522">
        <w:rPr>
          <w:i/>
        </w:rPr>
        <w:t>Besterfield</w:t>
      </w:r>
      <w:proofErr w:type="spellEnd"/>
      <w:r w:rsidRPr="00357522">
        <w:rPr>
          <w:i/>
        </w:rPr>
        <w:t xml:space="preserve">, G.H. and </w:t>
      </w:r>
      <w:proofErr w:type="spellStart"/>
      <w:r w:rsidRPr="00357522">
        <w:rPr>
          <w:i/>
        </w:rPr>
        <w:t>Sacre</w:t>
      </w:r>
      <w:proofErr w:type="spellEnd"/>
      <w:r w:rsidRPr="00357522">
        <w:rPr>
          <w:i/>
        </w:rPr>
        <w:t xml:space="preserve">, M. B. (2008) Total </w:t>
      </w:r>
      <w:r w:rsidRPr="00357522">
        <w:rPr>
          <w:i/>
        </w:rPr>
        <w:t xml:space="preserve">quality management (3rd </w:t>
      </w:r>
      <w:proofErr w:type="spellStart"/>
      <w:r w:rsidRPr="00357522">
        <w:rPr>
          <w:i/>
        </w:rPr>
        <w:t>edn</w:t>
      </w:r>
      <w:proofErr w:type="spellEnd"/>
      <w:r w:rsidRPr="00357522">
        <w:rPr>
          <w:i/>
        </w:rPr>
        <w:t>). New Delhi: Pearson</w:t>
      </w:r>
      <w:r w:rsidRPr="00357522">
        <w:rPr>
          <w:i/>
          <w:spacing w:val="-6"/>
        </w:rPr>
        <w:t xml:space="preserve"> </w:t>
      </w:r>
      <w:r w:rsidRPr="00357522">
        <w:rPr>
          <w:i/>
        </w:rPr>
        <w:t>Education.</w:t>
      </w:r>
    </w:p>
    <w:p w:rsidR="00F36AD3" w:rsidRPr="00357522" w:rsidRDefault="00357522" w:rsidP="00357522">
      <w:pPr>
        <w:pStyle w:val="ListParagraph"/>
        <w:numPr>
          <w:ilvl w:val="0"/>
          <w:numId w:val="2"/>
        </w:numPr>
        <w:tabs>
          <w:tab w:val="left" w:pos="860"/>
          <w:tab w:val="left" w:pos="861"/>
        </w:tabs>
        <w:ind w:left="567" w:hanging="283"/>
        <w:rPr>
          <w:i/>
        </w:rPr>
      </w:pPr>
      <w:r w:rsidRPr="00357522">
        <w:rPr>
          <w:i/>
        </w:rPr>
        <w:t>Coimbra, E., (2013) Kaizen in logistics and supply chains. McGraw Hill</w:t>
      </w:r>
      <w:r w:rsidRPr="00357522">
        <w:rPr>
          <w:i/>
          <w:spacing w:val="-18"/>
        </w:rPr>
        <w:t xml:space="preserve"> </w:t>
      </w:r>
      <w:r w:rsidRPr="00357522">
        <w:rPr>
          <w:i/>
        </w:rPr>
        <w:t>Professional.</w:t>
      </w:r>
    </w:p>
    <w:p w:rsidR="00F36AD3" w:rsidRPr="00357522" w:rsidRDefault="00357522" w:rsidP="00357522">
      <w:pPr>
        <w:pStyle w:val="ListParagraph"/>
        <w:numPr>
          <w:ilvl w:val="0"/>
          <w:numId w:val="2"/>
        </w:numPr>
        <w:tabs>
          <w:tab w:val="left" w:pos="861"/>
        </w:tabs>
        <w:ind w:left="567" w:hanging="283"/>
        <w:rPr>
          <w:i/>
        </w:rPr>
      </w:pPr>
      <w:r w:rsidRPr="00357522">
        <w:rPr>
          <w:i/>
        </w:rPr>
        <w:t xml:space="preserve">Cruz, C. and </w:t>
      </w:r>
      <w:proofErr w:type="spellStart"/>
      <w:r w:rsidRPr="00357522">
        <w:rPr>
          <w:i/>
        </w:rPr>
        <w:t>Montenon</w:t>
      </w:r>
      <w:proofErr w:type="spellEnd"/>
      <w:r w:rsidRPr="00357522">
        <w:rPr>
          <w:i/>
        </w:rPr>
        <w:t xml:space="preserve">, A. (2016) “Implementation and impacts of low emission zones on </w:t>
      </w:r>
      <w:r w:rsidRPr="00357522">
        <w:rPr>
          <w:i/>
        </w:rPr>
        <w:t>freight activities in Europe: Local schemes versus national schemes”. Transportation Research Procedia (12), pp.544 –</w:t>
      </w:r>
      <w:r w:rsidRPr="00357522">
        <w:rPr>
          <w:i/>
          <w:spacing w:val="-3"/>
        </w:rPr>
        <w:t xml:space="preserve"> </w:t>
      </w:r>
      <w:r w:rsidRPr="00357522">
        <w:rPr>
          <w:i/>
        </w:rPr>
        <w:t>556.</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Dablanc</w:t>
      </w:r>
      <w:proofErr w:type="spellEnd"/>
      <w:r w:rsidRPr="00357522">
        <w:rPr>
          <w:i/>
        </w:rPr>
        <w:t>, L. (2008) “Urban goods movement and air quality policy and regulation issues in European Cities”, Journal of Environmental L</w:t>
      </w:r>
      <w:r w:rsidRPr="00357522">
        <w:rPr>
          <w:i/>
        </w:rPr>
        <w:t>aw, 20 (2), pp.</w:t>
      </w:r>
      <w:r w:rsidRPr="00357522">
        <w:rPr>
          <w:i/>
          <w:spacing w:val="-12"/>
        </w:rPr>
        <w:t xml:space="preserve"> </w:t>
      </w:r>
      <w:r w:rsidRPr="00357522">
        <w:rPr>
          <w:i/>
        </w:rPr>
        <w:t>245-266.</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Dahlgaard</w:t>
      </w:r>
      <w:proofErr w:type="spellEnd"/>
      <w:r w:rsidRPr="00357522">
        <w:rPr>
          <w:i/>
        </w:rPr>
        <w:t>,</w:t>
      </w:r>
      <w:r w:rsidRPr="00357522">
        <w:rPr>
          <w:i/>
          <w:spacing w:val="-12"/>
        </w:rPr>
        <w:t xml:space="preserve"> </w:t>
      </w:r>
      <w:r w:rsidRPr="00357522">
        <w:rPr>
          <w:i/>
        </w:rPr>
        <w:t>J.J.</w:t>
      </w:r>
      <w:r w:rsidRPr="00357522">
        <w:rPr>
          <w:i/>
          <w:spacing w:val="-13"/>
        </w:rPr>
        <w:t xml:space="preserve"> </w:t>
      </w:r>
      <w:r w:rsidRPr="00357522">
        <w:rPr>
          <w:i/>
        </w:rPr>
        <w:t>and</w:t>
      </w:r>
      <w:r w:rsidRPr="00357522">
        <w:rPr>
          <w:i/>
          <w:spacing w:val="-13"/>
        </w:rPr>
        <w:t xml:space="preserve"> </w:t>
      </w:r>
      <w:proofErr w:type="spellStart"/>
      <w:r w:rsidRPr="00357522">
        <w:rPr>
          <w:i/>
        </w:rPr>
        <w:t>Mi</w:t>
      </w:r>
      <w:proofErr w:type="spellEnd"/>
      <w:r w:rsidRPr="00357522">
        <w:rPr>
          <w:i/>
          <w:spacing w:val="-13"/>
        </w:rPr>
        <w:t xml:space="preserve"> </w:t>
      </w:r>
      <w:proofErr w:type="spellStart"/>
      <w:r w:rsidRPr="00357522">
        <w:rPr>
          <w:i/>
        </w:rPr>
        <w:t>Dahlgaard</w:t>
      </w:r>
      <w:proofErr w:type="spellEnd"/>
      <w:r w:rsidRPr="00357522">
        <w:rPr>
          <w:i/>
        </w:rPr>
        <w:t>-Park,</w:t>
      </w:r>
      <w:r w:rsidRPr="00357522">
        <w:rPr>
          <w:i/>
          <w:spacing w:val="-12"/>
        </w:rPr>
        <w:t xml:space="preserve"> </w:t>
      </w:r>
      <w:r w:rsidRPr="00357522">
        <w:rPr>
          <w:i/>
        </w:rPr>
        <w:t>S.</w:t>
      </w:r>
      <w:r w:rsidRPr="00357522">
        <w:rPr>
          <w:i/>
          <w:spacing w:val="-13"/>
        </w:rPr>
        <w:t xml:space="preserve"> </w:t>
      </w:r>
      <w:r w:rsidRPr="00357522">
        <w:rPr>
          <w:i/>
        </w:rPr>
        <w:t>(2006)</w:t>
      </w:r>
      <w:r w:rsidRPr="00357522">
        <w:rPr>
          <w:i/>
          <w:spacing w:val="-12"/>
        </w:rPr>
        <w:t xml:space="preserve"> </w:t>
      </w:r>
      <w:r w:rsidRPr="00357522">
        <w:rPr>
          <w:i/>
        </w:rPr>
        <w:t>“Lean</w:t>
      </w:r>
      <w:r w:rsidRPr="00357522">
        <w:rPr>
          <w:i/>
          <w:spacing w:val="-16"/>
        </w:rPr>
        <w:t xml:space="preserve"> </w:t>
      </w:r>
      <w:r w:rsidRPr="00357522">
        <w:rPr>
          <w:i/>
        </w:rPr>
        <w:t>production,</w:t>
      </w:r>
      <w:r w:rsidRPr="00357522">
        <w:rPr>
          <w:i/>
          <w:spacing w:val="-12"/>
        </w:rPr>
        <w:t xml:space="preserve"> </w:t>
      </w:r>
      <w:r w:rsidRPr="00357522">
        <w:rPr>
          <w:i/>
        </w:rPr>
        <w:t>six</w:t>
      </w:r>
      <w:r w:rsidRPr="00357522">
        <w:rPr>
          <w:i/>
          <w:spacing w:val="-12"/>
        </w:rPr>
        <w:t xml:space="preserve"> </w:t>
      </w:r>
      <w:r w:rsidRPr="00357522">
        <w:rPr>
          <w:i/>
        </w:rPr>
        <w:t>sigma</w:t>
      </w:r>
      <w:r w:rsidRPr="00357522">
        <w:rPr>
          <w:i/>
          <w:spacing w:val="-13"/>
        </w:rPr>
        <w:t xml:space="preserve"> </w:t>
      </w:r>
      <w:r w:rsidRPr="00357522">
        <w:rPr>
          <w:i/>
        </w:rPr>
        <w:t>quality,</w:t>
      </w:r>
      <w:r w:rsidRPr="00357522">
        <w:rPr>
          <w:i/>
          <w:spacing w:val="-12"/>
        </w:rPr>
        <w:t xml:space="preserve"> </w:t>
      </w:r>
      <w:r w:rsidRPr="00357522">
        <w:rPr>
          <w:i/>
        </w:rPr>
        <w:t>TQM</w:t>
      </w:r>
      <w:r w:rsidRPr="00357522">
        <w:rPr>
          <w:i/>
          <w:spacing w:val="-12"/>
        </w:rPr>
        <w:t xml:space="preserve"> </w:t>
      </w:r>
      <w:r w:rsidRPr="00357522">
        <w:rPr>
          <w:i/>
        </w:rPr>
        <w:t>and company culture”. The TQM magazine, 18(3),</w:t>
      </w:r>
      <w:r w:rsidRPr="00357522">
        <w:rPr>
          <w:i/>
          <w:spacing w:val="-12"/>
        </w:rPr>
        <w:t xml:space="preserve"> </w:t>
      </w:r>
      <w:r w:rsidRPr="00357522">
        <w:rPr>
          <w:i/>
        </w:rPr>
        <w:t>pp.263-281.</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Deepika</w:t>
      </w:r>
      <w:proofErr w:type="spellEnd"/>
      <w:r w:rsidRPr="00357522">
        <w:rPr>
          <w:i/>
        </w:rPr>
        <w:t xml:space="preserve">, S., </w:t>
      </w:r>
      <w:proofErr w:type="spellStart"/>
      <w:r w:rsidRPr="00357522">
        <w:rPr>
          <w:i/>
        </w:rPr>
        <w:t>Anandakumar</w:t>
      </w:r>
      <w:proofErr w:type="spellEnd"/>
      <w:r w:rsidRPr="00357522">
        <w:rPr>
          <w:i/>
        </w:rPr>
        <w:t xml:space="preserve">, D. and </w:t>
      </w:r>
      <w:proofErr w:type="spellStart"/>
      <w:r w:rsidRPr="00357522">
        <w:rPr>
          <w:i/>
        </w:rPr>
        <w:t>Krishnamoorthy</w:t>
      </w:r>
      <w:proofErr w:type="spellEnd"/>
      <w:r w:rsidRPr="00357522">
        <w:rPr>
          <w:i/>
        </w:rPr>
        <w:t>, D. (2016) “Study on Factors Influencing the TQM Practices and its Consequences”. International Journal of Industrial Engineering and Management Science, 6(2), pp.</w:t>
      </w:r>
      <w:r w:rsidRPr="00357522">
        <w:rPr>
          <w:i/>
          <w:spacing w:val="-9"/>
        </w:rPr>
        <w:t xml:space="preserve"> </w:t>
      </w:r>
      <w:r w:rsidRPr="00357522">
        <w:rPr>
          <w:i/>
        </w:rPr>
        <w:t>48-52.</w:t>
      </w:r>
    </w:p>
    <w:p w:rsidR="00357522" w:rsidRDefault="00357522" w:rsidP="00357522">
      <w:pPr>
        <w:pStyle w:val="ListParagraph"/>
        <w:numPr>
          <w:ilvl w:val="0"/>
          <w:numId w:val="2"/>
        </w:numPr>
        <w:tabs>
          <w:tab w:val="left" w:pos="860"/>
          <w:tab w:val="left" w:pos="861"/>
          <w:tab w:val="left" w:pos="2035"/>
          <w:tab w:val="left" w:pos="3732"/>
          <w:tab w:val="left" w:pos="5421"/>
          <w:tab w:val="left" w:pos="7098"/>
        </w:tabs>
        <w:ind w:left="567" w:hanging="283"/>
        <w:rPr>
          <w:i/>
        </w:rPr>
      </w:pPr>
      <w:r w:rsidRPr="00357522">
        <w:rPr>
          <w:i/>
        </w:rPr>
        <w:t>DEFRA (2017) Air quality plan for nit</w:t>
      </w:r>
      <w:r w:rsidRPr="00357522">
        <w:rPr>
          <w:i/>
        </w:rPr>
        <w:t>rogen dioxide (NO2) in the UK: setting out the UK’s plan for</w:t>
      </w:r>
      <w:r>
        <w:rPr>
          <w:i/>
        </w:rPr>
        <w:t xml:space="preserve"> </w:t>
      </w:r>
      <w:r>
        <w:rPr>
          <w:i/>
        </w:rPr>
        <w:lastRenderedPageBreak/>
        <w:t xml:space="preserve">reducing roadside nitrogen </w:t>
      </w:r>
      <w:r w:rsidRPr="00357522">
        <w:rPr>
          <w:i/>
        </w:rPr>
        <w:t>dioxide concentrations.</w:t>
      </w:r>
    </w:p>
    <w:p w:rsidR="00F36AD3" w:rsidRPr="00357522" w:rsidRDefault="00357522" w:rsidP="00357522">
      <w:pPr>
        <w:pStyle w:val="ListParagraph"/>
        <w:tabs>
          <w:tab w:val="left" w:pos="860"/>
          <w:tab w:val="left" w:pos="861"/>
          <w:tab w:val="left" w:pos="2035"/>
          <w:tab w:val="left" w:pos="3732"/>
          <w:tab w:val="left" w:pos="5421"/>
          <w:tab w:val="left" w:pos="7098"/>
        </w:tabs>
        <w:ind w:left="567" w:firstLine="0"/>
        <w:jc w:val="left"/>
        <w:rPr>
          <w:i/>
        </w:rPr>
      </w:pPr>
      <w:hyperlink r:id="rId7" w:history="1">
        <w:r w:rsidRPr="00357522">
          <w:rPr>
            <w:rStyle w:val="Hyperlink"/>
            <w:i/>
            <w:u w:color="0000FF"/>
          </w:rPr>
          <w:t>https://www.gov.uk/government/publications/air-quality-plan-for-nitrogen-dioxide-no2-in-</w:t>
        </w:r>
      </w:hyperlink>
      <w:hyperlink r:id="rId8">
        <w:r w:rsidRPr="00357522">
          <w:rPr>
            <w:i/>
            <w:color w:val="0000FF"/>
            <w:u w:val="single" w:color="0000FF"/>
          </w:rPr>
          <w:t xml:space="preserve"> uk-2017</w:t>
        </w:r>
      </w:hyperlink>
      <w:r>
        <w:rPr>
          <w:i/>
          <w:color w:val="0000FF"/>
          <w:u w:val="single" w:color="0000FF"/>
        </w:rPr>
        <w:t>.</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Diez</w:t>
      </w:r>
      <w:proofErr w:type="spellEnd"/>
      <w:r w:rsidRPr="00357522">
        <w:rPr>
          <w:i/>
        </w:rPr>
        <w:t>, J. and Mohr, R. (2017) “Down to the Wire: Are you ELD-ready?”, Food</w:t>
      </w:r>
      <w:r w:rsidRPr="00357522">
        <w:rPr>
          <w:i/>
        </w:rPr>
        <w:t xml:space="preserve"> Logistics, 13 Nov 2017,</w:t>
      </w:r>
      <w:r w:rsidRPr="00357522">
        <w:rPr>
          <w:i/>
          <w:color w:val="006FC0"/>
          <w:spacing w:val="-9"/>
        </w:rPr>
        <w:t xml:space="preserve"> </w:t>
      </w:r>
      <w:r w:rsidRPr="00357522">
        <w:rPr>
          <w:i/>
          <w:color w:val="006FC0"/>
          <w:u w:val="single" w:color="006FC0"/>
        </w:rPr>
        <w:t>http://www.foodlogistics.com/article/12380804/down-to-the-wire-are-you-eld-ready</w:t>
      </w:r>
      <w:r>
        <w:rPr>
          <w:i/>
          <w:color w:val="006FC0"/>
          <w:u w:val="single" w:color="006FC0"/>
        </w:rPr>
        <w:t>.</w:t>
      </w:r>
      <w:bookmarkStart w:id="0" w:name="_GoBack"/>
      <w:bookmarkEnd w:id="0"/>
    </w:p>
    <w:p w:rsidR="00F36AD3" w:rsidRPr="00357522" w:rsidRDefault="00357522" w:rsidP="00357522">
      <w:pPr>
        <w:pStyle w:val="ListParagraph"/>
        <w:numPr>
          <w:ilvl w:val="0"/>
          <w:numId w:val="2"/>
        </w:numPr>
        <w:tabs>
          <w:tab w:val="left" w:pos="861"/>
        </w:tabs>
        <w:ind w:left="567" w:hanging="283"/>
        <w:rPr>
          <w:i/>
        </w:rPr>
      </w:pPr>
      <w:r w:rsidRPr="00357522">
        <w:rPr>
          <w:i/>
        </w:rPr>
        <w:t>Driver</w:t>
      </w:r>
      <w:r w:rsidRPr="00357522">
        <w:rPr>
          <w:i/>
          <w:spacing w:val="-13"/>
        </w:rPr>
        <w:t xml:space="preserve"> </w:t>
      </w:r>
      <w:r w:rsidRPr="00357522">
        <w:rPr>
          <w:i/>
        </w:rPr>
        <w:t>and</w:t>
      </w:r>
      <w:r w:rsidRPr="00357522">
        <w:rPr>
          <w:i/>
          <w:spacing w:val="-15"/>
        </w:rPr>
        <w:t xml:space="preserve"> </w:t>
      </w:r>
      <w:r w:rsidRPr="00357522">
        <w:rPr>
          <w:i/>
        </w:rPr>
        <w:t>Vehicle</w:t>
      </w:r>
      <w:r w:rsidRPr="00357522">
        <w:rPr>
          <w:i/>
          <w:spacing w:val="-16"/>
        </w:rPr>
        <w:t xml:space="preserve"> </w:t>
      </w:r>
      <w:r w:rsidRPr="00357522">
        <w:rPr>
          <w:i/>
        </w:rPr>
        <w:t>Standards</w:t>
      </w:r>
      <w:r w:rsidRPr="00357522">
        <w:rPr>
          <w:i/>
          <w:spacing w:val="-13"/>
        </w:rPr>
        <w:t xml:space="preserve"> </w:t>
      </w:r>
      <w:r w:rsidRPr="00357522">
        <w:rPr>
          <w:i/>
        </w:rPr>
        <w:t>Authority</w:t>
      </w:r>
      <w:r w:rsidRPr="00357522">
        <w:rPr>
          <w:i/>
          <w:spacing w:val="-16"/>
        </w:rPr>
        <w:t xml:space="preserve"> </w:t>
      </w:r>
      <w:r w:rsidRPr="00357522">
        <w:rPr>
          <w:i/>
        </w:rPr>
        <w:t>UK</w:t>
      </w:r>
      <w:r w:rsidRPr="00357522">
        <w:rPr>
          <w:i/>
          <w:spacing w:val="-16"/>
        </w:rPr>
        <w:t xml:space="preserve"> </w:t>
      </w:r>
      <w:r w:rsidRPr="00357522">
        <w:rPr>
          <w:i/>
        </w:rPr>
        <w:t>(2006)</w:t>
      </w:r>
      <w:r w:rsidRPr="00357522">
        <w:rPr>
          <w:i/>
          <w:spacing w:val="-16"/>
        </w:rPr>
        <w:t xml:space="preserve"> </w:t>
      </w:r>
      <w:proofErr w:type="gramStart"/>
      <w:r w:rsidRPr="00357522">
        <w:rPr>
          <w:i/>
        </w:rPr>
        <w:t>The</w:t>
      </w:r>
      <w:proofErr w:type="gramEnd"/>
      <w:r w:rsidRPr="00357522">
        <w:rPr>
          <w:i/>
          <w:spacing w:val="-14"/>
        </w:rPr>
        <w:t xml:space="preserve"> </w:t>
      </w:r>
      <w:r w:rsidRPr="00357522">
        <w:rPr>
          <w:i/>
        </w:rPr>
        <w:t>Operator</w:t>
      </w:r>
      <w:r w:rsidRPr="00357522">
        <w:rPr>
          <w:i/>
          <w:spacing w:val="-15"/>
        </w:rPr>
        <w:t xml:space="preserve"> </w:t>
      </w:r>
      <w:r w:rsidRPr="00357522">
        <w:rPr>
          <w:i/>
        </w:rPr>
        <w:t>Compliance</w:t>
      </w:r>
      <w:r w:rsidRPr="00357522">
        <w:rPr>
          <w:i/>
          <w:spacing w:val="-14"/>
        </w:rPr>
        <w:t xml:space="preserve"> </w:t>
      </w:r>
      <w:r w:rsidRPr="00357522">
        <w:rPr>
          <w:i/>
        </w:rPr>
        <w:t>Risk</w:t>
      </w:r>
      <w:r w:rsidRPr="00357522">
        <w:rPr>
          <w:i/>
          <w:spacing w:val="-16"/>
        </w:rPr>
        <w:t xml:space="preserve"> </w:t>
      </w:r>
      <w:r w:rsidRPr="00357522">
        <w:rPr>
          <w:i/>
        </w:rPr>
        <w:t>Score</w:t>
      </w:r>
      <w:r w:rsidRPr="00357522">
        <w:rPr>
          <w:i/>
          <w:spacing w:val="-16"/>
        </w:rPr>
        <w:t xml:space="preserve"> </w:t>
      </w:r>
      <w:r w:rsidRPr="00357522">
        <w:rPr>
          <w:i/>
        </w:rPr>
        <w:t>Scheme.</w:t>
      </w:r>
      <w:hyperlink r:id="rId9">
        <w:r w:rsidRPr="00357522">
          <w:rPr>
            <w:i/>
            <w:color w:val="0000FF"/>
            <w:u w:val="single" w:color="0000FF"/>
          </w:rPr>
          <w:t xml:space="preserve"> https://www.gov.uk/operator-compliance-risk-score</w:t>
        </w:r>
      </w:hyperlink>
      <w:r>
        <w:rPr>
          <w:i/>
          <w:color w:val="0000FF"/>
          <w:u w:val="single" w:color="0000FF"/>
        </w:rPr>
        <w:t>.</w:t>
      </w:r>
    </w:p>
    <w:p w:rsidR="00357522" w:rsidRPr="00357522" w:rsidRDefault="00357522" w:rsidP="00357522">
      <w:pPr>
        <w:pStyle w:val="ListParagraph"/>
        <w:numPr>
          <w:ilvl w:val="0"/>
          <w:numId w:val="2"/>
        </w:numPr>
        <w:tabs>
          <w:tab w:val="left" w:pos="860"/>
          <w:tab w:val="left" w:pos="861"/>
          <w:tab w:val="left" w:pos="1683"/>
          <w:tab w:val="left" w:pos="2138"/>
          <w:tab w:val="left" w:pos="3266"/>
          <w:tab w:val="left" w:pos="3753"/>
          <w:tab w:val="left" w:pos="4353"/>
          <w:tab w:val="left" w:pos="5118"/>
          <w:tab w:val="left" w:pos="6172"/>
          <w:tab w:val="left" w:pos="7041"/>
          <w:tab w:val="left" w:pos="7511"/>
          <w:tab w:val="left" w:pos="8108"/>
          <w:tab w:val="left" w:pos="8665"/>
        </w:tabs>
        <w:ind w:left="567" w:hanging="283"/>
        <w:rPr>
          <w:i/>
        </w:rPr>
      </w:pPr>
      <w:r w:rsidRPr="00357522">
        <w:rPr>
          <w:i/>
        </w:rPr>
        <w:t>European Union Transport Commission (2011) Road Freight Tr</w:t>
      </w:r>
      <w:r>
        <w:rPr>
          <w:i/>
        </w:rPr>
        <w:t xml:space="preserve">ansport </w:t>
      </w:r>
      <w:proofErr w:type="spellStart"/>
      <w:r>
        <w:rPr>
          <w:i/>
        </w:rPr>
        <w:t>Vadenecum</w:t>
      </w:r>
      <w:proofErr w:type="spellEnd"/>
      <w:r>
        <w:rPr>
          <w:i/>
        </w:rPr>
        <w:t xml:space="preserve">: Market Trend </w:t>
      </w:r>
      <w:r w:rsidRPr="00357522">
        <w:rPr>
          <w:i/>
        </w:rPr>
        <w:t>&amp;</w:t>
      </w:r>
      <w:r w:rsidRPr="00357522">
        <w:rPr>
          <w:i/>
        </w:rPr>
        <w:tab/>
        <w:t>St</w:t>
      </w:r>
      <w:r>
        <w:rPr>
          <w:i/>
        </w:rPr>
        <w:t>ructure</w:t>
      </w:r>
      <w:r>
        <w:rPr>
          <w:i/>
        </w:rPr>
        <w:tab/>
        <w:t>of the Road Haulage Sector in</w:t>
      </w:r>
      <w:r>
        <w:rPr>
          <w:i/>
        </w:rPr>
        <w:tab/>
        <w:t xml:space="preserve">the EU </w:t>
      </w:r>
      <w:r w:rsidRPr="00357522">
        <w:rPr>
          <w:i/>
        </w:rPr>
        <w:t>2010.</w:t>
      </w:r>
      <w:r w:rsidRPr="00357522">
        <w:fldChar w:fldCharType="begin"/>
      </w:r>
      <w:r w:rsidRPr="00357522">
        <w:instrText xml:space="preserve"> HYPERLINK "https://ec.europa.eu/transport/sites/transport/files/modes/road/doc/2010-road-freight-vademecum.pdf" \h </w:instrText>
      </w:r>
      <w:r w:rsidRPr="00357522">
        <w:fldChar w:fldCharType="separate"/>
      </w:r>
    </w:p>
    <w:p w:rsidR="00F36AD3" w:rsidRPr="00357522" w:rsidRDefault="00357522" w:rsidP="00357522">
      <w:pPr>
        <w:pStyle w:val="ListParagraph"/>
        <w:tabs>
          <w:tab w:val="left" w:pos="860"/>
          <w:tab w:val="left" w:pos="861"/>
          <w:tab w:val="left" w:pos="1683"/>
          <w:tab w:val="left" w:pos="2138"/>
          <w:tab w:val="left" w:pos="3266"/>
          <w:tab w:val="left" w:pos="3753"/>
          <w:tab w:val="left" w:pos="4353"/>
          <w:tab w:val="left" w:pos="5118"/>
          <w:tab w:val="left" w:pos="6172"/>
          <w:tab w:val="left" w:pos="7041"/>
          <w:tab w:val="left" w:pos="7511"/>
          <w:tab w:val="left" w:pos="8108"/>
          <w:tab w:val="left" w:pos="8665"/>
        </w:tabs>
        <w:ind w:left="567" w:firstLine="0"/>
        <w:jc w:val="left"/>
        <w:rPr>
          <w:i/>
        </w:rPr>
      </w:pPr>
      <w:r w:rsidRPr="00357522">
        <w:rPr>
          <w:i/>
          <w:color w:val="0000FF"/>
          <w:u w:val="single" w:color="0000FF"/>
        </w:rPr>
        <w:t>https://ec.europa.eu/transport/sites/transport/files/modes/road/doc/2010-road-freight-</w:t>
      </w:r>
      <w:r w:rsidRPr="00357522">
        <w:rPr>
          <w:i/>
          <w:color w:val="0000FF"/>
          <w:u w:val="single" w:color="0000FF"/>
        </w:rPr>
        <w:fldChar w:fldCharType="end"/>
      </w:r>
      <w:hyperlink r:id="rId10">
        <w:r w:rsidRPr="00357522">
          <w:rPr>
            <w:i/>
            <w:color w:val="0000FF"/>
            <w:u w:val="single" w:color="0000FF"/>
          </w:rPr>
          <w:t xml:space="preserve"> vademecum.pdf</w:t>
        </w:r>
      </w:hyperlink>
      <w:r>
        <w:rPr>
          <w:i/>
          <w:color w:val="0000FF"/>
          <w:u w:val="single" w:color="0000FF"/>
        </w:rPr>
        <w:t>.</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color w:val="212121"/>
        </w:rPr>
        <w:t>Easterby</w:t>
      </w:r>
      <w:proofErr w:type="spellEnd"/>
      <w:r w:rsidRPr="00357522">
        <w:rPr>
          <w:i/>
          <w:color w:val="212121"/>
        </w:rPr>
        <w:t>-Smith, M., Thorpe, R. and Jackson, P.R., (2015) Management and business research. Sage.</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Ebrahimi</w:t>
      </w:r>
      <w:proofErr w:type="spellEnd"/>
      <w:r w:rsidRPr="00357522">
        <w:rPr>
          <w:i/>
        </w:rPr>
        <w:t xml:space="preserve">, M. and </w:t>
      </w:r>
      <w:proofErr w:type="spellStart"/>
      <w:r w:rsidRPr="00357522">
        <w:rPr>
          <w:i/>
        </w:rPr>
        <w:t>Sadeghi</w:t>
      </w:r>
      <w:proofErr w:type="spellEnd"/>
      <w:r w:rsidRPr="00357522">
        <w:rPr>
          <w:i/>
        </w:rPr>
        <w:t>,</w:t>
      </w:r>
      <w:r w:rsidRPr="00357522">
        <w:rPr>
          <w:i/>
        </w:rPr>
        <w:t xml:space="preserve"> M., (2013) “Quality management and performance: An annotated review”. International Journal of Production Research, 51(18),</w:t>
      </w:r>
      <w:r w:rsidRPr="00357522">
        <w:rPr>
          <w:i/>
          <w:spacing w:val="-11"/>
        </w:rPr>
        <w:t xml:space="preserve"> </w:t>
      </w:r>
      <w:r w:rsidRPr="00357522">
        <w:rPr>
          <w:i/>
        </w:rPr>
        <w:t>pp.5625-5643.</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Hellsten</w:t>
      </w:r>
      <w:proofErr w:type="spellEnd"/>
      <w:r w:rsidRPr="00357522">
        <w:rPr>
          <w:i/>
        </w:rPr>
        <w:t xml:space="preserve">, U. and </w:t>
      </w:r>
      <w:proofErr w:type="spellStart"/>
      <w:r w:rsidRPr="00357522">
        <w:rPr>
          <w:i/>
        </w:rPr>
        <w:t>Klefsjo</w:t>
      </w:r>
      <w:proofErr w:type="spellEnd"/>
      <w:r w:rsidRPr="00357522">
        <w:rPr>
          <w:i/>
        </w:rPr>
        <w:t>̈, B. (2000) “TQM as a management system consisting of values, techniques and tools”. The TQM</w:t>
      </w:r>
      <w:r w:rsidRPr="00357522">
        <w:rPr>
          <w:i/>
        </w:rPr>
        <w:t xml:space="preserve"> Magazine, 12(4), pp.</w:t>
      </w:r>
      <w:r w:rsidRPr="00357522">
        <w:rPr>
          <w:i/>
          <w:spacing w:val="-9"/>
        </w:rPr>
        <w:t xml:space="preserve"> </w:t>
      </w:r>
      <w:r w:rsidRPr="00357522">
        <w:rPr>
          <w:i/>
        </w:rPr>
        <w:t>238-244.</w:t>
      </w:r>
    </w:p>
    <w:p w:rsidR="00F36AD3" w:rsidRPr="00357522" w:rsidRDefault="00357522" w:rsidP="00357522">
      <w:pPr>
        <w:pStyle w:val="ListParagraph"/>
        <w:numPr>
          <w:ilvl w:val="0"/>
          <w:numId w:val="2"/>
        </w:numPr>
        <w:tabs>
          <w:tab w:val="left" w:pos="861"/>
        </w:tabs>
        <w:ind w:left="567" w:hanging="283"/>
        <w:rPr>
          <w:i/>
        </w:rPr>
      </w:pPr>
      <w:r w:rsidRPr="00357522">
        <w:rPr>
          <w:i/>
        </w:rPr>
        <w:t xml:space="preserve">Islam, Z. D. M., </w:t>
      </w:r>
      <w:proofErr w:type="spellStart"/>
      <w:r w:rsidRPr="00357522">
        <w:rPr>
          <w:i/>
        </w:rPr>
        <w:t>Zunder</w:t>
      </w:r>
      <w:proofErr w:type="spellEnd"/>
      <w:r w:rsidRPr="00357522">
        <w:rPr>
          <w:i/>
        </w:rPr>
        <w:t>, T. H. (2014) “The necessity for a new quality standard for freight transport and logistics in Europe”, European Transportation Research Review, 6, pp.</w:t>
      </w:r>
      <w:r w:rsidRPr="00357522">
        <w:rPr>
          <w:i/>
          <w:spacing w:val="-36"/>
        </w:rPr>
        <w:t xml:space="preserve"> </w:t>
      </w:r>
      <w:r w:rsidRPr="00357522">
        <w:rPr>
          <w:i/>
        </w:rPr>
        <w:t>397-410.</w:t>
      </w:r>
    </w:p>
    <w:p w:rsidR="00F36AD3" w:rsidRPr="00357522" w:rsidRDefault="00357522" w:rsidP="00357522">
      <w:pPr>
        <w:pStyle w:val="ListParagraph"/>
        <w:numPr>
          <w:ilvl w:val="0"/>
          <w:numId w:val="2"/>
        </w:numPr>
        <w:tabs>
          <w:tab w:val="left" w:pos="861"/>
        </w:tabs>
        <w:ind w:left="567" w:hanging="283"/>
        <w:rPr>
          <w:i/>
        </w:rPr>
      </w:pPr>
      <w:r w:rsidRPr="00357522">
        <w:rPr>
          <w:i/>
        </w:rPr>
        <w:t>INTEREG (2013) Sustainable Urban Goods l</w:t>
      </w:r>
      <w:r w:rsidRPr="00357522">
        <w:rPr>
          <w:i/>
        </w:rPr>
        <w:t>ogistics Achieved by Regional and local policies.</w:t>
      </w:r>
      <w:hyperlink r:id="rId11">
        <w:r w:rsidRPr="00357522">
          <w:rPr>
            <w:i/>
            <w:color w:val="0000FF"/>
            <w:u w:val="single" w:color="0000FF"/>
          </w:rPr>
          <w:t xml:space="preserve"> http://www.sugarlogistics.eu/</w:t>
        </w:r>
      </w:hyperlink>
      <w:r>
        <w:rPr>
          <w:i/>
          <w:color w:val="0000FF"/>
          <w:u w:val="single" w:color="0000FF"/>
        </w:rPr>
        <w:t>.</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color w:val="212121"/>
        </w:rPr>
        <w:t>Jonsen</w:t>
      </w:r>
      <w:proofErr w:type="spellEnd"/>
      <w:r w:rsidRPr="00357522">
        <w:rPr>
          <w:i/>
          <w:color w:val="212121"/>
        </w:rPr>
        <w:t xml:space="preserve">, K. and </w:t>
      </w:r>
      <w:proofErr w:type="spellStart"/>
      <w:r w:rsidRPr="00357522">
        <w:rPr>
          <w:i/>
          <w:color w:val="212121"/>
        </w:rPr>
        <w:t>Jehn</w:t>
      </w:r>
      <w:proofErr w:type="spellEnd"/>
      <w:r w:rsidRPr="00357522">
        <w:rPr>
          <w:i/>
          <w:color w:val="212121"/>
        </w:rPr>
        <w:t>, K.A., (2009) “Using triangulation to validate themes in qualitative studies”. Qualitative Research in Orga</w:t>
      </w:r>
      <w:r w:rsidRPr="00357522">
        <w:rPr>
          <w:i/>
          <w:color w:val="212121"/>
        </w:rPr>
        <w:t>nizations and Management: An International Journal, 4(2),</w:t>
      </w:r>
      <w:r w:rsidRPr="00357522">
        <w:rPr>
          <w:i/>
          <w:color w:val="212121"/>
          <w:spacing w:val="-1"/>
        </w:rPr>
        <w:t xml:space="preserve"> </w:t>
      </w:r>
      <w:r w:rsidRPr="00357522">
        <w:rPr>
          <w:i/>
          <w:color w:val="212121"/>
        </w:rPr>
        <w:t>123-150.</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Karuppusami</w:t>
      </w:r>
      <w:proofErr w:type="spellEnd"/>
      <w:r w:rsidRPr="00357522">
        <w:rPr>
          <w:i/>
        </w:rPr>
        <w:t>,</w:t>
      </w:r>
      <w:r w:rsidRPr="00357522">
        <w:rPr>
          <w:i/>
          <w:spacing w:val="-7"/>
        </w:rPr>
        <w:t xml:space="preserve"> </w:t>
      </w:r>
      <w:r w:rsidRPr="00357522">
        <w:rPr>
          <w:i/>
        </w:rPr>
        <w:t>G.</w:t>
      </w:r>
      <w:r w:rsidRPr="00357522">
        <w:rPr>
          <w:i/>
          <w:spacing w:val="-9"/>
        </w:rPr>
        <w:t xml:space="preserve"> </w:t>
      </w:r>
      <w:r w:rsidRPr="00357522">
        <w:rPr>
          <w:i/>
        </w:rPr>
        <w:t>&amp;</w:t>
      </w:r>
      <w:r w:rsidRPr="00357522">
        <w:rPr>
          <w:i/>
          <w:spacing w:val="-9"/>
        </w:rPr>
        <w:t xml:space="preserve"> </w:t>
      </w:r>
      <w:proofErr w:type="spellStart"/>
      <w:r w:rsidRPr="00357522">
        <w:rPr>
          <w:i/>
        </w:rPr>
        <w:t>Gandhinathan</w:t>
      </w:r>
      <w:proofErr w:type="spellEnd"/>
      <w:r w:rsidRPr="00357522">
        <w:rPr>
          <w:i/>
        </w:rPr>
        <w:t>,</w:t>
      </w:r>
      <w:r w:rsidRPr="00357522">
        <w:rPr>
          <w:i/>
          <w:spacing w:val="-6"/>
        </w:rPr>
        <w:t xml:space="preserve"> </w:t>
      </w:r>
      <w:r w:rsidRPr="00357522">
        <w:rPr>
          <w:i/>
        </w:rPr>
        <w:t>R.</w:t>
      </w:r>
      <w:r w:rsidRPr="00357522">
        <w:rPr>
          <w:i/>
          <w:spacing w:val="-7"/>
        </w:rPr>
        <w:t xml:space="preserve"> </w:t>
      </w:r>
      <w:r w:rsidRPr="00357522">
        <w:rPr>
          <w:i/>
        </w:rPr>
        <w:t>(2006)</w:t>
      </w:r>
      <w:r w:rsidRPr="00357522">
        <w:rPr>
          <w:i/>
          <w:spacing w:val="-9"/>
        </w:rPr>
        <w:t xml:space="preserve"> </w:t>
      </w:r>
      <w:r w:rsidRPr="00357522">
        <w:rPr>
          <w:i/>
        </w:rPr>
        <w:t>“Pareto</w:t>
      </w:r>
      <w:r w:rsidRPr="00357522">
        <w:rPr>
          <w:i/>
          <w:spacing w:val="-9"/>
        </w:rPr>
        <w:t xml:space="preserve"> </w:t>
      </w:r>
      <w:r w:rsidRPr="00357522">
        <w:rPr>
          <w:i/>
        </w:rPr>
        <w:t>analysis</w:t>
      </w:r>
      <w:r w:rsidRPr="00357522">
        <w:rPr>
          <w:i/>
          <w:spacing w:val="-6"/>
        </w:rPr>
        <w:t xml:space="preserve"> </w:t>
      </w:r>
      <w:r w:rsidRPr="00357522">
        <w:rPr>
          <w:i/>
        </w:rPr>
        <w:t>of</w:t>
      </w:r>
      <w:r w:rsidRPr="00357522">
        <w:rPr>
          <w:i/>
          <w:spacing w:val="-7"/>
        </w:rPr>
        <w:t xml:space="preserve"> </w:t>
      </w:r>
      <w:r w:rsidRPr="00357522">
        <w:rPr>
          <w:i/>
        </w:rPr>
        <w:t>critical</w:t>
      </w:r>
      <w:r w:rsidRPr="00357522">
        <w:rPr>
          <w:i/>
          <w:spacing w:val="-7"/>
        </w:rPr>
        <w:t xml:space="preserve"> </w:t>
      </w:r>
      <w:r w:rsidRPr="00357522">
        <w:rPr>
          <w:i/>
        </w:rPr>
        <w:t>success</w:t>
      </w:r>
      <w:r w:rsidRPr="00357522">
        <w:rPr>
          <w:i/>
          <w:spacing w:val="-9"/>
        </w:rPr>
        <w:t xml:space="preserve"> </w:t>
      </w:r>
      <w:r w:rsidRPr="00357522">
        <w:rPr>
          <w:i/>
        </w:rPr>
        <w:t>factors</w:t>
      </w:r>
      <w:r w:rsidRPr="00357522">
        <w:rPr>
          <w:i/>
          <w:spacing w:val="-6"/>
        </w:rPr>
        <w:t xml:space="preserve"> </w:t>
      </w:r>
      <w:r w:rsidRPr="00357522">
        <w:rPr>
          <w:i/>
        </w:rPr>
        <w:t>of</w:t>
      </w:r>
      <w:r w:rsidRPr="00357522">
        <w:rPr>
          <w:i/>
          <w:spacing w:val="-10"/>
        </w:rPr>
        <w:t xml:space="preserve"> </w:t>
      </w:r>
      <w:r w:rsidRPr="00357522">
        <w:rPr>
          <w:i/>
        </w:rPr>
        <w:t>total quality management: A literature review and analysis”, The TQM Magazine, 18(4), pp. 372- 385.</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Kaynak</w:t>
      </w:r>
      <w:proofErr w:type="spellEnd"/>
      <w:r w:rsidRPr="00357522">
        <w:rPr>
          <w:i/>
        </w:rPr>
        <w:t>, H., (2003) “The relationship between total quality management practices and their effects on firm performance”. Journal of Operations Management, 21(4),</w:t>
      </w:r>
      <w:r w:rsidRPr="00357522">
        <w:rPr>
          <w:i/>
          <w:spacing w:val="-16"/>
        </w:rPr>
        <w:t xml:space="preserve"> </w:t>
      </w:r>
      <w:r w:rsidRPr="00357522">
        <w:rPr>
          <w:i/>
        </w:rPr>
        <w:t>pp.405-435.</w:t>
      </w:r>
    </w:p>
    <w:p w:rsidR="00F36AD3" w:rsidRPr="00357522" w:rsidRDefault="00F36AD3" w:rsidP="00357522">
      <w:pPr>
        <w:ind w:left="567" w:hanging="283"/>
        <w:jc w:val="both"/>
        <w:sectPr w:rsidR="00F36AD3" w:rsidRPr="00357522">
          <w:footerReference w:type="default" r:id="rId12"/>
          <w:pgSz w:w="11910" w:h="16840"/>
          <w:pgMar w:top="1340" w:right="1300" w:bottom="1200" w:left="1300" w:header="0" w:footer="1003" w:gutter="0"/>
          <w:cols w:space="720"/>
        </w:sectPr>
      </w:pPr>
    </w:p>
    <w:p w:rsidR="00F36AD3" w:rsidRPr="00357522" w:rsidRDefault="00357522" w:rsidP="00357522">
      <w:pPr>
        <w:pStyle w:val="ListParagraph"/>
        <w:numPr>
          <w:ilvl w:val="0"/>
          <w:numId w:val="2"/>
        </w:numPr>
        <w:tabs>
          <w:tab w:val="left" w:pos="861"/>
        </w:tabs>
        <w:ind w:left="567" w:hanging="283"/>
        <w:rPr>
          <w:i/>
        </w:rPr>
      </w:pPr>
      <w:r w:rsidRPr="00357522">
        <w:rPr>
          <w:i/>
          <w:color w:val="212121"/>
        </w:rPr>
        <w:lastRenderedPageBreak/>
        <w:t>Oakland, J.S. (2014) Total quality management and operational excellence: text with cases. Routledge.</w:t>
      </w:r>
    </w:p>
    <w:p w:rsidR="00F36AD3" w:rsidRPr="00357522" w:rsidRDefault="00357522" w:rsidP="00357522">
      <w:pPr>
        <w:pStyle w:val="ListParagraph"/>
        <w:numPr>
          <w:ilvl w:val="0"/>
          <w:numId w:val="2"/>
        </w:numPr>
        <w:tabs>
          <w:tab w:val="left" w:pos="861"/>
        </w:tabs>
        <w:ind w:left="567" w:hanging="283"/>
        <w:rPr>
          <w:i/>
        </w:rPr>
      </w:pPr>
      <w:r w:rsidRPr="00357522">
        <w:rPr>
          <w:i/>
        </w:rPr>
        <w:t>Parish, R. J. (1997) “Service level agreements as a contributor to TQM goals”, Logistics Information Management, 10(6), pp.</w:t>
      </w:r>
      <w:r w:rsidRPr="00357522">
        <w:rPr>
          <w:i/>
          <w:spacing w:val="-12"/>
        </w:rPr>
        <w:t xml:space="preserve"> </w:t>
      </w:r>
      <w:r w:rsidRPr="00357522">
        <w:rPr>
          <w:i/>
        </w:rPr>
        <w:t>284-288.</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color w:val="212121"/>
        </w:rPr>
        <w:t>Piecyk</w:t>
      </w:r>
      <w:proofErr w:type="spellEnd"/>
      <w:r w:rsidRPr="00357522">
        <w:rPr>
          <w:i/>
          <w:color w:val="212121"/>
        </w:rPr>
        <w:t>, M.I. and McKi</w:t>
      </w:r>
      <w:r w:rsidRPr="00357522">
        <w:rPr>
          <w:i/>
          <w:color w:val="212121"/>
        </w:rPr>
        <w:t>nnon, A.C. (2010) “Forecasting the carbon footprint of road freight transport in 2020”. International Journal of Production Economics</w:t>
      </w:r>
      <w:proofErr w:type="gramStart"/>
      <w:r w:rsidRPr="00357522">
        <w:rPr>
          <w:i/>
          <w:color w:val="212121"/>
        </w:rPr>
        <w:t>,128</w:t>
      </w:r>
      <w:proofErr w:type="gramEnd"/>
      <w:r w:rsidRPr="00357522">
        <w:rPr>
          <w:i/>
          <w:color w:val="212121"/>
        </w:rPr>
        <w:t>(1),</w:t>
      </w:r>
      <w:r w:rsidRPr="00357522">
        <w:rPr>
          <w:i/>
          <w:color w:val="212121"/>
          <w:spacing w:val="-15"/>
        </w:rPr>
        <w:t xml:space="preserve"> </w:t>
      </w:r>
      <w:r w:rsidRPr="00357522">
        <w:rPr>
          <w:i/>
          <w:color w:val="212121"/>
        </w:rPr>
        <w:t>31-42.</w:t>
      </w:r>
    </w:p>
    <w:p w:rsidR="00F36AD3" w:rsidRPr="00357522" w:rsidRDefault="00357522" w:rsidP="00357522">
      <w:pPr>
        <w:pStyle w:val="ListParagraph"/>
        <w:numPr>
          <w:ilvl w:val="0"/>
          <w:numId w:val="2"/>
        </w:numPr>
        <w:tabs>
          <w:tab w:val="left" w:pos="861"/>
        </w:tabs>
        <w:ind w:left="567" w:hanging="283"/>
        <w:rPr>
          <w:i/>
        </w:rPr>
      </w:pPr>
      <w:proofErr w:type="spellStart"/>
      <w:r w:rsidRPr="00357522">
        <w:rPr>
          <w:i/>
        </w:rPr>
        <w:t>SmartWay</w:t>
      </w:r>
      <w:proofErr w:type="spellEnd"/>
      <w:r w:rsidRPr="00357522">
        <w:rPr>
          <w:i/>
        </w:rPr>
        <w:t xml:space="preserve"> (2017) ‘Learn about </w:t>
      </w:r>
      <w:proofErr w:type="spellStart"/>
      <w:r w:rsidRPr="00357522">
        <w:rPr>
          <w:i/>
        </w:rPr>
        <w:t>SmartWay</w:t>
      </w:r>
      <w:proofErr w:type="spellEnd"/>
      <w:r w:rsidRPr="00357522">
        <w:rPr>
          <w:i/>
        </w:rPr>
        <w:t>’, United States Environmental Protection Agency, 18 Sept 2017,</w:t>
      </w:r>
      <w:r w:rsidRPr="00357522">
        <w:rPr>
          <w:i/>
          <w:color w:val="1154CC"/>
          <w:spacing w:val="-6"/>
        </w:rPr>
        <w:t xml:space="preserve"> </w:t>
      </w:r>
      <w:hyperlink r:id="rId13">
        <w:r w:rsidRPr="00357522">
          <w:rPr>
            <w:i/>
            <w:color w:val="1154CC"/>
            <w:u w:val="single" w:color="1154CC"/>
          </w:rPr>
          <w:t>https://www.epa.gov/smartway/learn-about-smartway</w:t>
        </w:r>
      </w:hyperlink>
    </w:p>
    <w:p w:rsidR="00F36AD3" w:rsidRPr="00357522" w:rsidRDefault="00357522" w:rsidP="00357522">
      <w:pPr>
        <w:pStyle w:val="ListParagraph"/>
        <w:numPr>
          <w:ilvl w:val="0"/>
          <w:numId w:val="2"/>
        </w:numPr>
        <w:tabs>
          <w:tab w:val="left" w:pos="861"/>
        </w:tabs>
        <w:ind w:left="567" w:hanging="283"/>
        <w:rPr>
          <w:i/>
        </w:rPr>
      </w:pPr>
      <w:r w:rsidRPr="00357522">
        <w:rPr>
          <w:i/>
        </w:rPr>
        <w:t>Sousa, R. and Voss, C.A., (2002) “Quality management re-visited: a reflective review and agenda for future research”. Journal of Operations Man</w:t>
      </w:r>
      <w:r w:rsidRPr="00357522">
        <w:rPr>
          <w:i/>
        </w:rPr>
        <w:t>agement, 20(1),</w:t>
      </w:r>
      <w:r w:rsidRPr="00357522">
        <w:rPr>
          <w:i/>
          <w:spacing w:val="-14"/>
        </w:rPr>
        <w:t xml:space="preserve"> </w:t>
      </w:r>
      <w:r w:rsidRPr="00357522">
        <w:rPr>
          <w:i/>
        </w:rPr>
        <w:t>pp.91-109.</w:t>
      </w:r>
    </w:p>
    <w:p w:rsidR="00F36AD3" w:rsidRPr="00357522" w:rsidRDefault="00357522" w:rsidP="00357522">
      <w:pPr>
        <w:pStyle w:val="ListParagraph"/>
        <w:numPr>
          <w:ilvl w:val="0"/>
          <w:numId w:val="2"/>
        </w:numPr>
        <w:tabs>
          <w:tab w:val="left" w:pos="861"/>
        </w:tabs>
        <w:ind w:left="567" w:hanging="283"/>
        <w:rPr>
          <w:i/>
        </w:rPr>
      </w:pPr>
      <w:r w:rsidRPr="00357522">
        <w:rPr>
          <w:i/>
        </w:rPr>
        <w:t>Tam. C.M. and Moses, Y.T. Hui (1996) “Total quality management in a public transport organisation in Hong Kong”. International Journal of Project Management Vol. 14, No. 5, pp. 311-315.</w:t>
      </w:r>
    </w:p>
    <w:p w:rsidR="00F36AD3" w:rsidRPr="00357522" w:rsidRDefault="00357522" w:rsidP="00357522">
      <w:pPr>
        <w:pStyle w:val="ListParagraph"/>
        <w:numPr>
          <w:ilvl w:val="0"/>
          <w:numId w:val="2"/>
        </w:numPr>
        <w:tabs>
          <w:tab w:val="left" w:pos="860"/>
          <w:tab w:val="left" w:pos="861"/>
        </w:tabs>
        <w:ind w:left="567" w:hanging="283"/>
        <w:rPr>
          <w:i/>
        </w:rPr>
      </w:pPr>
      <w:r w:rsidRPr="00357522">
        <w:rPr>
          <w:i/>
        </w:rPr>
        <w:t>TFL (2010) Freight Operator Recognition Sch</w:t>
      </w:r>
      <w:r w:rsidRPr="00357522">
        <w:rPr>
          <w:i/>
        </w:rPr>
        <w:t>eme. Transport for</w:t>
      </w:r>
      <w:r w:rsidRPr="00357522">
        <w:rPr>
          <w:i/>
          <w:spacing w:val="-13"/>
        </w:rPr>
        <w:t xml:space="preserve"> </w:t>
      </w:r>
      <w:r w:rsidRPr="00357522">
        <w:rPr>
          <w:i/>
        </w:rPr>
        <w:t>London.</w:t>
      </w:r>
    </w:p>
    <w:p w:rsidR="00F36AD3" w:rsidRPr="00357522" w:rsidRDefault="00357522" w:rsidP="00357522">
      <w:pPr>
        <w:pStyle w:val="ListParagraph"/>
        <w:numPr>
          <w:ilvl w:val="0"/>
          <w:numId w:val="2"/>
        </w:numPr>
        <w:tabs>
          <w:tab w:val="left" w:pos="861"/>
        </w:tabs>
        <w:ind w:left="567" w:hanging="283"/>
        <w:rPr>
          <w:i/>
        </w:rPr>
      </w:pPr>
      <w:r w:rsidRPr="00357522">
        <w:rPr>
          <w:i/>
        </w:rPr>
        <w:t xml:space="preserve">Yin, R. K. (2014) Case study research: design and methods. 5th </w:t>
      </w:r>
      <w:proofErr w:type="spellStart"/>
      <w:r w:rsidRPr="00357522">
        <w:rPr>
          <w:i/>
        </w:rPr>
        <w:t>edn</w:t>
      </w:r>
      <w:proofErr w:type="spellEnd"/>
      <w:r w:rsidRPr="00357522">
        <w:rPr>
          <w:i/>
        </w:rPr>
        <w:t>. Thousand Oaks, Calif.: Sage Publications, Applied social research methods</w:t>
      </w:r>
      <w:r w:rsidRPr="00357522">
        <w:rPr>
          <w:i/>
          <w:spacing w:val="-9"/>
        </w:rPr>
        <w:t xml:space="preserve"> </w:t>
      </w:r>
      <w:r w:rsidRPr="00357522">
        <w:rPr>
          <w:i/>
        </w:rPr>
        <w:t>series.</w:t>
      </w:r>
    </w:p>
    <w:sectPr w:rsidR="00F36AD3" w:rsidRPr="00357522">
      <w:pgSz w:w="11910" w:h="16840"/>
      <w:pgMar w:top="1340" w:right="1300" w:bottom="1200" w:left="13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7522">
      <w:r>
        <w:separator/>
      </w:r>
    </w:p>
  </w:endnote>
  <w:endnote w:type="continuationSeparator" w:id="0">
    <w:p w:rsidR="00000000" w:rsidRDefault="0035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D3" w:rsidRDefault="004A60A4">
    <w:pPr>
      <w:pStyle w:val="BodyText"/>
      <w:spacing w:line="14" w:lineRule="auto"/>
      <w:ind w:left="0"/>
      <w:rPr>
        <w:sz w:val="20"/>
      </w:rPr>
    </w:pPr>
    <w:r>
      <w:rPr>
        <w:noProof/>
        <w:lang w:eastAsia="ko-KR"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AD3" w:rsidRDefault="00357522">
                          <w:pPr>
                            <w:pStyle w:val="BodyText"/>
                            <w:spacing w:line="245" w:lineRule="exact"/>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filled="f" stroked="f">
              <v:textbox inset="0,0,0,0">
                <w:txbxContent>
                  <w:p w:rsidR="00F36AD3" w:rsidRDefault="00357522">
                    <w:pPr>
                      <w:pStyle w:val="BodyText"/>
                      <w:spacing w:line="245"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7522">
      <w:r>
        <w:separator/>
      </w:r>
    </w:p>
  </w:footnote>
  <w:footnote w:type="continuationSeparator" w:id="0">
    <w:p w:rsidR="00000000" w:rsidRDefault="0035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4CD"/>
    <w:multiLevelType w:val="hybridMultilevel"/>
    <w:tmpl w:val="D34C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A76A6"/>
    <w:multiLevelType w:val="hybridMultilevel"/>
    <w:tmpl w:val="223A5E74"/>
    <w:lvl w:ilvl="0" w:tplc="1C08B942">
      <w:numFmt w:val="bullet"/>
      <w:lvlText w:val="*"/>
      <w:lvlJc w:val="left"/>
      <w:pPr>
        <w:ind w:left="140" w:hanging="161"/>
      </w:pPr>
      <w:rPr>
        <w:rFonts w:ascii="Calibri" w:eastAsia="Calibri" w:hAnsi="Calibri" w:cs="Calibri" w:hint="default"/>
        <w:w w:val="100"/>
        <w:sz w:val="22"/>
        <w:szCs w:val="22"/>
        <w:lang w:val="en-GB" w:eastAsia="en-GB" w:bidi="en-GB"/>
      </w:rPr>
    </w:lvl>
    <w:lvl w:ilvl="1" w:tplc="902C804C">
      <w:numFmt w:val="bullet"/>
      <w:lvlText w:val=""/>
      <w:lvlJc w:val="left"/>
      <w:pPr>
        <w:ind w:left="860" w:hanging="360"/>
      </w:pPr>
      <w:rPr>
        <w:rFonts w:ascii="Symbol" w:eastAsia="Symbol" w:hAnsi="Symbol" w:cs="Symbol" w:hint="default"/>
        <w:w w:val="100"/>
        <w:sz w:val="22"/>
        <w:szCs w:val="22"/>
        <w:lang w:val="en-GB" w:eastAsia="en-GB" w:bidi="en-GB"/>
      </w:rPr>
    </w:lvl>
    <w:lvl w:ilvl="2" w:tplc="55F8A2A2">
      <w:numFmt w:val="bullet"/>
      <w:lvlText w:val="•"/>
      <w:lvlJc w:val="left"/>
      <w:pPr>
        <w:ind w:left="1798" w:hanging="360"/>
      </w:pPr>
      <w:rPr>
        <w:rFonts w:hint="default"/>
        <w:lang w:val="en-GB" w:eastAsia="en-GB" w:bidi="en-GB"/>
      </w:rPr>
    </w:lvl>
    <w:lvl w:ilvl="3" w:tplc="9F5E8B8A">
      <w:numFmt w:val="bullet"/>
      <w:lvlText w:val="•"/>
      <w:lvlJc w:val="left"/>
      <w:pPr>
        <w:ind w:left="2736" w:hanging="360"/>
      </w:pPr>
      <w:rPr>
        <w:rFonts w:hint="default"/>
        <w:lang w:val="en-GB" w:eastAsia="en-GB" w:bidi="en-GB"/>
      </w:rPr>
    </w:lvl>
    <w:lvl w:ilvl="4" w:tplc="D1CC1658">
      <w:numFmt w:val="bullet"/>
      <w:lvlText w:val="•"/>
      <w:lvlJc w:val="left"/>
      <w:pPr>
        <w:ind w:left="3675" w:hanging="360"/>
      </w:pPr>
      <w:rPr>
        <w:rFonts w:hint="default"/>
        <w:lang w:val="en-GB" w:eastAsia="en-GB" w:bidi="en-GB"/>
      </w:rPr>
    </w:lvl>
    <w:lvl w:ilvl="5" w:tplc="9EEAE5D2">
      <w:numFmt w:val="bullet"/>
      <w:lvlText w:val="•"/>
      <w:lvlJc w:val="left"/>
      <w:pPr>
        <w:ind w:left="4613" w:hanging="360"/>
      </w:pPr>
      <w:rPr>
        <w:rFonts w:hint="default"/>
        <w:lang w:val="en-GB" w:eastAsia="en-GB" w:bidi="en-GB"/>
      </w:rPr>
    </w:lvl>
    <w:lvl w:ilvl="6" w:tplc="53A416DC">
      <w:numFmt w:val="bullet"/>
      <w:lvlText w:val="•"/>
      <w:lvlJc w:val="left"/>
      <w:pPr>
        <w:ind w:left="5552" w:hanging="360"/>
      </w:pPr>
      <w:rPr>
        <w:rFonts w:hint="default"/>
        <w:lang w:val="en-GB" w:eastAsia="en-GB" w:bidi="en-GB"/>
      </w:rPr>
    </w:lvl>
    <w:lvl w:ilvl="7" w:tplc="7E0C0806">
      <w:numFmt w:val="bullet"/>
      <w:lvlText w:val="•"/>
      <w:lvlJc w:val="left"/>
      <w:pPr>
        <w:ind w:left="6490" w:hanging="360"/>
      </w:pPr>
      <w:rPr>
        <w:rFonts w:hint="default"/>
        <w:lang w:val="en-GB" w:eastAsia="en-GB" w:bidi="en-GB"/>
      </w:rPr>
    </w:lvl>
    <w:lvl w:ilvl="8" w:tplc="3104CF12">
      <w:numFmt w:val="bullet"/>
      <w:lvlText w:val="•"/>
      <w:lvlJc w:val="left"/>
      <w:pPr>
        <w:ind w:left="7429"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D3"/>
    <w:rsid w:val="00357522"/>
    <w:rsid w:val="004A60A4"/>
    <w:rsid w:val="00F36AD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CE2B33"/>
  <w15:docId w15:val="{030CF1F2-C4E6-4181-80F6-9F175FEA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340" w:lineRule="exact"/>
      <w:ind w:left="14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right="133"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7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ir-quality-plan-for-nitrogen-dioxide-no2-in-uk-2017" TargetMode="External"/><Relationship Id="rId13" Type="http://schemas.openxmlformats.org/officeDocument/2006/relationships/hyperlink" Target="https://www.epa.gov/smartway/learn-about-smartway" TargetMode="External"/><Relationship Id="rId3" Type="http://schemas.openxmlformats.org/officeDocument/2006/relationships/settings" Target="settings.xml"/><Relationship Id="rId7" Type="http://schemas.openxmlformats.org/officeDocument/2006/relationships/hyperlink" Target="https://www.gov.uk/government/publications/air-quality-plan-for-nitrogen-dioxide-no2-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garlogistics.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transport/sites/transport/files/modes/road/doc/2010-road-freight-vademecum.pdf" TargetMode="External"/><Relationship Id="rId4" Type="http://schemas.openxmlformats.org/officeDocument/2006/relationships/webSettings" Target="webSettings.xml"/><Relationship Id="rId9" Type="http://schemas.openxmlformats.org/officeDocument/2006/relationships/hyperlink" Target="https://www.gov.uk/operator-compliance-risk-sc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Graeme Heron</dc:creator>
  <cp:lastModifiedBy>Saeyeon Roh</cp:lastModifiedBy>
  <cp:revision>3</cp:revision>
  <dcterms:created xsi:type="dcterms:W3CDTF">2018-07-10T16:13:00Z</dcterms:created>
  <dcterms:modified xsi:type="dcterms:W3CDTF">2018-07-10T16:22:00Z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2018-07-10T00:00:00Z</vt:filetime>
  </property>
</Properties>
</file>